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B199" w14:textId="77777777" w:rsidR="000D3676" w:rsidRPr="000D3676" w:rsidRDefault="000D3676" w:rsidP="000D3676">
      <w:pPr>
        <w:jc w:val="center"/>
        <w:rPr>
          <w:b/>
          <w:bCs/>
        </w:rPr>
      </w:pPr>
      <w:r w:rsidRPr="000D3676">
        <w:rPr>
          <w:b/>
          <w:bCs/>
        </w:rPr>
        <w:t>Dārzkopības nozaru salīdzinājumi</w:t>
      </w:r>
    </w:p>
    <w:p w14:paraId="2E4A8CF7" w14:textId="24DF712D" w:rsidR="00AF3186" w:rsidRDefault="000D3676" w:rsidP="000D3676">
      <w:pPr>
        <w:jc w:val="center"/>
        <w:rPr>
          <w:b/>
          <w:bCs/>
        </w:rPr>
      </w:pPr>
      <w:r w:rsidRPr="000D3676">
        <w:rPr>
          <w:b/>
          <w:bCs/>
        </w:rPr>
        <w:t>MK Noteikumos Nr. 641 (2023) un Nr. 371 (2025)</w:t>
      </w:r>
    </w:p>
    <w:p w14:paraId="14D14B1E" w14:textId="77777777" w:rsidR="000D3676" w:rsidRDefault="000D3676" w:rsidP="000D3676">
      <w:pPr>
        <w:jc w:val="center"/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D3676" w:rsidRPr="00FD5B5E" w14:paraId="2FAFA97A" w14:textId="77777777">
        <w:tc>
          <w:tcPr>
            <w:tcW w:w="2074" w:type="dxa"/>
          </w:tcPr>
          <w:p w14:paraId="383A5109" w14:textId="53F9BF6D" w:rsidR="000D3676" w:rsidRPr="00FD5B5E" w:rsidRDefault="000D3676" w:rsidP="000D3676">
            <w:pPr>
              <w:jc w:val="center"/>
            </w:pPr>
            <w:r w:rsidRPr="00FD5B5E">
              <w:t>Kultūra</w:t>
            </w:r>
          </w:p>
        </w:tc>
        <w:tc>
          <w:tcPr>
            <w:tcW w:w="2074" w:type="dxa"/>
          </w:tcPr>
          <w:p w14:paraId="3043934C" w14:textId="368EE981" w:rsidR="000D3676" w:rsidRPr="00FD5B5E" w:rsidRDefault="000D3676" w:rsidP="000D3676">
            <w:pPr>
              <w:jc w:val="center"/>
            </w:pPr>
            <w:r w:rsidRPr="00FD5B5E">
              <w:t>MK Not</w:t>
            </w:r>
            <w:r w:rsidR="00306D92">
              <w:t>eik</w:t>
            </w:r>
            <w:r w:rsidRPr="00FD5B5E">
              <w:t>.641 eiro/ha</w:t>
            </w:r>
          </w:p>
        </w:tc>
        <w:tc>
          <w:tcPr>
            <w:tcW w:w="2074" w:type="dxa"/>
          </w:tcPr>
          <w:p w14:paraId="209A4787" w14:textId="77777777" w:rsidR="000D3676" w:rsidRPr="00FD5B5E" w:rsidRDefault="000D3676" w:rsidP="000D3676">
            <w:pPr>
              <w:jc w:val="center"/>
            </w:pPr>
            <w:r w:rsidRPr="00FD5B5E">
              <w:t xml:space="preserve">MK </w:t>
            </w:r>
            <w:proofErr w:type="spellStart"/>
            <w:r w:rsidRPr="00FD5B5E">
              <w:t>Noteik</w:t>
            </w:r>
            <w:proofErr w:type="spellEnd"/>
            <w:r w:rsidRPr="00FD5B5E">
              <w:t>. 371,</w:t>
            </w:r>
          </w:p>
          <w:p w14:paraId="2B7699F6" w14:textId="008687E6" w:rsidR="000D3676" w:rsidRPr="00FD5B5E" w:rsidRDefault="000D3676" w:rsidP="000D3676">
            <w:pPr>
              <w:jc w:val="center"/>
            </w:pPr>
            <w:r w:rsidRPr="00FD5B5E">
              <w:t>Eiro/ha</w:t>
            </w:r>
          </w:p>
        </w:tc>
        <w:tc>
          <w:tcPr>
            <w:tcW w:w="2074" w:type="dxa"/>
          </w:tcPr>
          <w:p w14:paraId="7FFD338D" w14:textId="65478E7A" w:rsidR="000D3676" w:rsidRPr="00FD5B5E" w:rsidRDefault="000D3676" w:rsidP="000D3676">
            <w:pPr>
              <w:jc w:val="center"/>
            </w:pPr>
            <w:r w:rsidRPr="00FD5B5E">
              <w:t xml:space="preserve">Attiecība </w:t>
            </w:r>
            <w:proofErr w:type="spellStart"/>
            <w:r w:rsidRPr="00FD5B5E">
              <w:t>Noteik</w:t>
            </w:r>
            <w:proofErr w:type="spellEnd"/>
            <w:r w:rsidR="00C72D9A" w:rsidRPr="00FD5B5E">
              <w:t>. 641 / 371 , %</w:t>
            </w:r>
          </w:p>
        </w:tc>
      </w:tr>
      <w:tr w:rsidR="000D3676" w:rsidRPr="00FD5B5E" w14:paraId="27B13A30" w14:textId="77777777">
        <w:tc>
          <w:tcPr>
            <w:tcW w:w="2074" w:type="dxa"/>
          </w:tcPr>
          <w:p w14:paraId="01056D8A" w14:textId="1B7C5618" w:rsidR="000D3676" w:rsidRPr="00FD5B5E" w:rsidRDefault="00C72D9A" w:rsidP="003F11CC">
            <w:proofErr w:type="spellStart"/>
            <w:r w:rsidRPr="00FD5B5E">
              <w:t>Krūmmellenes</w:t>
            </w:r>
            <w:proofErr w:type="spellEnd"/>
          </w:p>
        </w:tc>
        <w:tc>
          <w:tcPr>
            <w:tcW w:w="2074" w:type="dxa"/>
          </w:tcPr>
          <w:p w14:paraId="4847EDCC" w14:textId="51C69039" w:rsidR="000D3676" w:rsidRPr="00FD5B5E" w:rsidRDefault="00C72D9A" w:rsidP="000D3676">
            <w:pPr>
              <w:jc w:val="center"/>
            </w:pPr>
            <w:r w:rsidRPr="00FD5B5E">
              <w:t>2127,08</w:t>
            </w:r>
          </w:p>
        </w:tc>
        <w:tc>
          <w:tcPr>
            <w:tcW w:w="2074" w:type="dxa"/>
          </w:tcPr>
          <w:p w14:paraId="0A7A7A77" w14:textId="3C27EA80" w:rsidR="000D3676" w:rsidRPr="00FD5B5E" w:rsidRDefault="00C72D9A" w:rsidP="000D3676">
            <w:pPr>
              <w:jc w:val="center"/>
            </w:pPr>
            <w:r w:rsidRPr="00FD5B5E">
              <w:t>5163</w:t>
            </w:r>
          </w:p>
        </w:tc>
        <w:tc>
          <w:tcPr>
            <w:tcW w:w="2074" w:type="dxa"/>
          </w:tcPr>
          <w:p w14:paraId="17B8CD86" w14:textId="1E0F4C98" w:rsidR="000D3676" w:rsidRPr="00FD5B5E" w:rsidRDefault="00C72D9A" w:rsidP="000D3676">
            <w:pPr>
              <w:jc w:val="center"/>
            </w:pPr>
            <w:r w:rsidRPr="00FD5B5E">
              <w:t>41 %</w:t>
            </w:r>
          </w:p>
        </w:tc>
      </w:tr>
      <w:tr w:rsidR="000D3676" w:rsidRPr="00FD5B5E" w14:paraId="6C5858E2" w14:textId="77777777">
        <w:tc>
          <w:tcPr>
            <w:tcW w:w="2074" w:type="dxa"/>
          </w:tcPr>
          <w:p w14:paraId="5512193B" w14:textId="4D4E2D77" w:rsidR="000D3676" w:rsidRPr="00FD5B5E" w:rsidRDefault="00C72D9A" w:rsidP="003F11CC">
            <w:r w:rsidRPr="00FD5B5E">
              <w:t>Upenes</w:t>
            </w:r>
          </w:p>
        </w:tc>
        <w:tc>
          <w:tcPr>
            <w:tcW w:w="2074" w:type="dxa"/>
          </w:tcPr>
          <w:p w14:paraId="325EC573" w14:textId="7E79A61B" w:rsidR="000D3676" w:rsidRPr="00FD5B5E" w:rsidRDefault="00C72D9A" w:rsidP="000D3676">
            <w:pPr>
              <w:jc w:val="center"/>
            </w:pPr>
            <w:r w:rsidRPr="00FD5B5E">
              <w:t>1179,00</w:t>
            </w:r>
          </w:p>
        </w:tc>
        <w:tc>
          <w:tcPr>
            <w:tcW w:w="2074" w:type="dxa"/>
          </w:tcPr>
          <w:p w14:paraId="78C99E85" w14:textId="71BF54C9" w:rsidR="000D3676" w:rsidRPr="00FD5B5E" w:rsidRDefault="00C72D9A" w:rsidP="000D3676">
            <w:pPr>
              <w:jc w:val="center"/>
            </w:pPr>
            <w:r w:rsidRPr="00FD5B5E">
              <w:t>2053</w:t>
            </w:r>
          </w:p>
        </w:tc>
        <w:tc>
          <w:tcPr>
            <w:tcW w:w="2074" w:type="dxa"/>
          </w:tcPr>
          <w:p w14:paraId="69D35B09" w14:textId="7B648415" w:rsidR="000D3676" w:rsidRPr="00FD5B5E" w:rsidRDefault="00C72D9A" w:rsidP="000D3676">
            <w:pPr>
              <w:jc w:val="center"/>
            </w:pPr>
            <w:r w:rsidRPr="00FD5B5E">
              <w:t>57 %</w:t>
            </w:r>
            <w:r w:rsidR="003F11CC" w:rsidRPr="00FD5B5E">
              <w:t xml:space="preserve">, </w:t>
            </w:r>
            <w:proofErr w:type="spellStart"/>
            <w:r w:rsidR="003F11CC" w:rsidRPr="00FD5B5E">
              <w:t>max</w:t>
            </w:r>
            <w:proofErr w:type="spellEnd"/>
          </w:p>
        </w:tc>
      </w:tr>
      <w:tr w:rsidR="000D3676" w:rsidRPr="00FD5B5E" w14:paraId="06ADCCE5" w14:textId="77777777">
        <w:tc>
          <w:tcPr>
            <w:tcW w:w="2074" w:type="dxa"/>
          </w:tcPr>
          <w:p w14:paraId="1456D688" w14:textId="08046B6B" w:rsidR="000D3676" w:rsidRPr="00FD5B5E" w:rsidRDefault="00C72D9A" w:rsidP="003F11CC">
            <w:r w:rsidRPr="00FD5B5E">
              <w:t>Ābeles</w:t>
            </w:r>
          </w:p>
        </w:tc>
        <w:tc>
          <w:tcPr>
            <w:tcW w:w="2074" w:type="dxa"/>
          </w:tcPr>
          <w:p w14:paraId="6270DFC5" w14:textId="22FBD29D" w:rsidR="000D3676" w:rsidRPr="00FD5B5E" w:rsidRDefault="00C72D9A" w:rsidP="000D3676">
            <w:pPr>
              <w:jc w:val="center"/>
            </w:pPr>
            <w:r w:rsidRPr="00FD5B5E">
              <w:t>1575,52</w:t>
            </w:r>
          </w:p>
        </w:tc>
        <w:tc>
          <w:tcPr>
            <w:tcW w:w="2074" w:type="dxa"/>
          </w:tcPr>
          <w:p w14:paraId="1F456388" w14:textId="1C70815C" w:rsidR="000D3676" w:rsidRPr="00FD5B5E" w:rsidRDefault="00C72D9A" w:rsidP="000D3676">
            <w:pPr>
              <w:jc w:val="center"/>
            </w:pPr>
            <w:r w:rsidRPr="00FD5B5E">
              <w:t>6639</w:t>
            </w:r>
          </w:p>
        </w:tc>
        <w:tc>
          <w:tcPr>
            <w:tcW w:w="2074" w:type="dxa"/>
          </w:tcPr>
          <w:p w14:paraId="44081F83" w14:textId="4B4A629F" w:rsidR="000D3676" w:rsidRPr="00FD5B5E" w:rsidRDefault="00C72D9A" w:rsidP="000D3676">
            <w:pPr>
              <w:jc w:val="center"/>
            </w:pPr>
            <w:r w:rsidRPr="00FD5B5E">
              <w:t>23 %</w:t>
            </w:r>
          </w:p>
        </w:tc>
      </w:tr>
      <w:tr w:rsidR="000D3676" w:rsidRPr="00FD5B5E" w14:paraId="15EA79C9" w14:textId="77777777">
        <w:tc>
          <w:tcPr>
            <w:tcW w:w="2074" w:type="dxa"/>
          </w:tcPr>
          <w:p w14:paraId="549A1AAC" w14:textId="1E9D7E7D" w:rsidR="000D3676" w:rsidRPr="00FD5B5E" w:rsidRDefault="00C72D9A" w:rsidP="003F11CC">
            <w:r w:rsidRPr="00FD5B5E">
              <w:t>Smiltsērkšķi</w:t>
            </w:r>
          </w:p>
        </w:tc>
        <w:tc>
          <w:tcPr>
            <w:tcW w:w="2074" w:type="dxa"/>
          </w:tcPr>
          <w:p w14:paraId="36FE1C24" w14:textId="33870687" w:rsidR="000D3676" w:rsidRPr="00FD5B5E" w:rsidRDefault="00C72D9A" w:rsidP="000D3676">
            <w:pPr>
              <w:jc w:val="center"/>
            </w:pPr>
            <w:r w:rsidRPr="00FD5B5E">
              <w:t>914,08</w:t>
            </w:r>
          </w:p>
        </w:tc>
        <w:tc>
          <w:tcPr>
            <w:tcW w:w="2074" w:type="dxa"/>
          </w:tcPr>
          <w:p w14:paraId="4D8A5AE2" w14:textId="6D3C7744" w:rsidR="000D3676" w:rsidRPr="00FD5B5E" w:rsidRDefault="00C72D9A" w:rsidP="000D3676">
            <w:pPr>
              <w:jc w:val="center"/>
            </w:pPr>
            <w:r w:rsidRPr="00FD5B5E">
              <w:t>2513</w:t>
            </w:r>
          </w:p>
        </w:tc>
        <w:tc>
          <w:tcPr>
            <w:tcW w:w="2074" w:type="dxa"/>
          </w:tcPr>
          <w:p w14:paraId="4FCD66B8" w14:textId="28835EC4" w:rsidR="000D3676" w:rsidRPr="00FD5B5E" w:rsidRDefault="00C72D9A" w:rsidP="000D3676">
            <w:pPr>
              <w:jc w:val="center"/>
            </w:pPr>
            <w:r w:rsidRPr="00FD5B5E">
              <w:t>36 %</w:t>
            </w:r>
          </w:p>
        </w:tc>
      </w:tr>
      <w:tr w:rsidR="000D3676" w:rsidRPr="00FD5B5E" w14:paraId="46AEEA24" w14:textId="77777777">
        <w:tc>
          <w:tcPr>
            <w:tcW w:w="2074" w:type="dxa"/>
          </w:tcPr>
          <w:p w14:paraId="5F4EDECC" w14:textId="2673A1D9" w:rsidR="000D3676" w:rsidRPr="00FD5B5E" w:rsidRDefault="00C72D9A" w:rsidP="003F11CC">
            <w:r w:rsidRPr="00FD5B5E">
              <w:t>Dzērvenes</w:t>
            </w:r>
          </w:p>
        </w:tc>
        <w:tc>
          <w:tcPr>
            <w:tcW w:w="2074" w:type="dxa"/>
          </w:tcPr>
          <w:p w14:paraId="6FC61C96" w14:textId="44A3148D" w:rsidR="000D3676" w:rsidRPr="00FD5B5E" w:rsidRDefault="00C72D9A" w:rsidP="000D3676">
            <w:pPr>
              <w:jc w:val="center"/>
            </w:pPr>
            <w:r w:rsidRPr="00FD5B5E">
              <w:t>1990,46</w:t>
            </w:r>
          </w:p>
        </w:tc>
        <w:tc>
          <w:tcPr>
            <w:tcW w:w="2074" w:type="dxa"/>
          </w:tcPr>
          <w:p w14:paraId="1E439696" w14:textId="04DDFAFE" w:rsidR="000D3676" w:rsidRPr="00FD5B5E" w:rsidRDefault="00C72D9A" w:rsidP="000D3676">
            <w:pPr>
              <w:jc w:val="center"/>
            </w:pPr>
            <w:r w:rsidRPr="00FD5B5E">
              <w:t>8640</w:t>
            </w:r>
          </w:p>
        </w:tc>
        <w:tc>
          <w:tcPr>
            <w:tcW w:w="2074" w:type="dxa"/>
          </w:tcPr>
          <w:p w14:paraId="21F4C825" w14:textId="66B3291B" w:rsidR="000D3676" w:rsidRPr="00FD5B5E" w:rsidRDefault="00C72D9A" w:rsidP="000D3676">
            <w:pPr>
              <w:jc w:val="center"/>
            </w:pPr>
            <w:r w:rsidRPr="00FD5B5E">
              <w:t>23 %</w:t>
            </w:r>
          </w:p>
        </w:tc>
      </w:tr>
      <w:tr w:rsidR="000D3676" w:rsidRPr="00FD5B5E" w14:paraId="06C38D8B" w14:textId="77777777">
        <w:tc>
          <w:tcPr>
            <w:tcW w:w="2074" w:type="dxa"/>
          </w:tcPr>
          <w:p w14:paraId="3F59317B" w14:textId="475E8884" w:rsidR="000D3676" w:rsidRPr="00FD5B5E" w:rsidRDefault="00C72D9A" w:rsidP="003F11CC">
            <w:r w:rsidRPr="00FD5B5E">
              <w:t>Krūmcidonijas</w:t>
            </w:r>
          </w:p>
        </w:tc>
        <w:tc>
          <w:tcPr>
            <w:tcW w:w="2074" w:type="dxa"/>
          </w:tcPr>
          <w:p w14:paraId="5BCC23AF" w14:textId="043D054E" w:rsidR="000D3676" w:rsidRPr="00FD5B5E" w:rsidRDefault="00C72D9A" w:rsidP="000D3676">
            <w:pPr>
              <w:jc w:val="center"/>
            </w:pPr>
            <w:r w:rsidRPr="00FD5B5E">
              <w:t>764,08</w:t>
            </w:r>
          </w:p>
        </w:tc>
        <w:tc>
          <w:tcPr>
            <w:tcW w:w="2074" w:type="dxa"/>
          </w:tcPr>
          <w:p w14:paraId="4181CEE9" w14:textId="7A63E9C3" w:rsidR="000D3676" w:rsidRPr="00FD5B5E" w:rsidRDefault="00C72D9A" w:rsidP="000D3676">
            <w:pPr>
              <w:jc w:val="center"/>
            </w:pPr>
            <w:r w:rsidRPr="00FD5B5E">
              <w:t>1316</w:t>
            </w:r>
          </w:p>
        </w:tc>
        <w:tc>
          <w:tcPr>
            <w:tcW w:w="2074" w:type="dxa"/>
          </w:tcPr>
          <w:p w14:paraId="2BEB8E6C" w14:textId="082A3D12" w:rsidR="000D3676" w:rsidRPr="00FD5B5E" w:rsidRDefault="00C72D9A" w:rsidP="000D3676">
            <w:pPr>
              <w:jc w:val="center"/>
            </w:pPr>
            <w:r w:rsidRPr="00FD5B5E">
              <w:t>58%</w:t>
            </w:r>
            <w:r w:rsidR="003F11CC" w:rsidRPr="00FD5B5E">
              <w:t xml:space="preserve"> </w:t>
            </w:r>
            <w:proofErr w:type="spellStart"/>
            <w:r w:rsidR="003F11CC" w:rsidRPr="00FD5B5E">
              <w:t>max</w:t>
            </w:r>
            <w:proofErr w:type="spellEnd"/>
          </w:p>
        </w:tc>
      </w:tr>
      <w:tr w:rsidR="000D3676" w:rsidRPr="00FD5B5E" w14:paraId="0DB9057E" w14:textId="77777777">
        <w:tc>
          <w:tcPr>
            <w:tcW w:w="2074" w:type="dxa"/>
          </w:tcPr>
          <w:p w14:paraId="1719CBD7" w14:textId="718E02A7" w:rsidR="000D3676" w:rsidRPr="00FD5B5E" w:rsidRDefault="00C72D9A" w:rsidP="003F11CC">
            <w:r w:rsidRPr="00FD5B5E">
              <w:t>Plūškoks</w:t>
            </w:r>
            <w:r w:rsidR="003F11CC" w:rsidRPr="00FD5B5E">
              <w:t xml:space="preserve"> (citi )</w:t>
            </w:r>
          </w:p>
        </w:tc>
        <w:tc>
          <w:tcPr>
            <w:tcW w:w="2074" w:type="dxa"/>
          </w:tcPr>
          <w:p w14:paraId="53ADAF60" w14:textId="34C86FBC" w:rsidR="000D3676" w:rsidRPr="00FD5B5E" w:rsidRDefault="003F11CC" w:rsidP="000D3676">
            <w:pPr>
              <w:jc w:val="center"/>
            </w:pPr>
            <w:r w:rsidRPr="00FD5B5E">
              <w:t>1420,22</w:t>
            </w:r>
          </w:p>
        </w:tc>
        <w:tc>
          <w:tcPr>
            <w:tcW w:w="2074" w:type="dxa"/>
          </w:tcPr>
          <w:p w14:paraId="492DDF86" w14:textId="3572A3BF" w:rsidR="000D3676" w:rsidRPr="00FD5B5E" w:rsidRDefault="00C72D9A" w:rsidP="000D3676">
            <w:pPr>
              <w:jc w:val="center"/>
            </w:pPr>
            <w:r w:rsidRPr="00FD5B5E">
              <w:t>2053</w:t>
            </w:r>
          </w:p>
        </w:tc>
        <w:tc>
          <w:tcPr>
            <w:tcW w:w="2074" w:type="dxa"/>
          </w:tcPr>
          <w:p w14:paraId="7FE4F5DC" w14:textId="2704BA1C" w:rsidR="000D3676" w:rsidRPr="00FD5B5E" w:rsidRDefault="003F11CC" w:rsidP="000D3676">
            <w:pPr>
              <w:jc w:val="center"/>
            </w:pPr>
            <w:r w:rsidRPr="00FD5B5E">
              <w:t xml:space="preserve">69% </w:t>
            </w:r>
            <w:proofErr w:type="spellStart"/>
            <w:r w:rsidRPr="00FD5B5E">
              <w:t>max</w:t>
            </w:r>
            <w:proofErr w:type="spellEnd"/>
          </w:p>
        </w:tc>
      </w:tr>
      <w:tr w:rsidR="000D3676" w:rsidRPr="00FD5B5E" w14:paraId="06373732" w14:textId="77777777">
        <w:tc>
          <w:tcPr>
            <w:tcW w:w="2074" w:type="dxa"/>
          </w:tcPr>
          <w:p w14:paraId="0E145CF6" w14:textId="31B68BFC" w:rsidR="000D3676" w:rsidRPr="00FD5B5E" w:rsidRDefault="00C72D9A" w:rsidP="003F11CC">
            <w:r w:rsidRPr="00FD5B5E">
              <w:t>Dārza pīlādži</w:t>
            </w:r>
          </w:p>
        </w:tc>
        <w:tc>
          <w:tcPr>
            <w:tcW w:w="2074" w:type="dxa"/>
          </w:tcPr>
          <w:p w14:paraId="3E3F06F5" w14:textId="54FAABE4" w:rsidR="000D3676" w:rsidRPr="00FD5B5E" w:rsidRDefault="003F11CC" w:rsidP="000D3676">
            <w:pPr>
              <w:jc w:val="center"/>
            </w:pPr>
            <w:r w:rsidRPr="00FD5B5E">
              <w:t>744,22</w:t>
            </w:r>
          </w:p>
        </w:tc>
        <w:tc>
          <w:tcPr>
            <w:tcW w:w="2074" w:type="dxa"/>
          </w:tcPr>
          <w:p w14:paraId="12FACAAF" w14:textId="3BD50B94" w:rsidR="000D3676" w:rsidRPr="00FD5B5E" w:rsidRDefault="00C72D9A" w:rsidP="000D3676">
            <w:pPr>
              <w:jc w:val="center"/>
            </w:pPr>
            <w:r w:rsidRPr="00FD5B5E">
              <w:t>2884</w:t>
            </w:r>
          </w:p>
        </w:tc>
        <w:tc>
          <w:tcPr>
            <w:tcW w:w="2074" w:type="dxa"/>
          </w:tcPr>
          <w:p w14:paraId="3A3E61B5" w14:textId="16A8816F" w:rsidR="000D3676" w:rsidRPr="00FD5B5E" w:rsidRDefault="003F11CC" w:rsidP="000D3676">
            <w:pPr>
              <w:jc w:val="center"/>
            </w:pPr>
            <w:r w:rsidRPr="00FD5B5E">
              <w:t>25 %</w:t>
            </w:r>
          </w:p>
        </w:tc>
      </w:tr>
      <w:tr w:rsidR="000D3676" w:rsidRPr="00FD5B5E" w14:paraId="211336FA" w14:textId="77777777">
        <w:tc>
          <w:tcPr>
            <w:tcW w:w="2074" w:type="dxa"/>
          </w:tcPr>
          <w:p w14:paraId="0F4D35DC" w14:textId="40848919" w:rsidR="000D3676" w:rsidRPr="00FD5B5E" w:rsidRDefault="003F11CC" w:rsidP="003F11CC">
            <w:r w:rsidRPr="00FD5B5E">
              <w:t>S</w:t>
            </w:r>
            <w:r w:rsidR="00C72D9A" w:rsidRPr="00FD5B5E">
              <w:t>ausserdis</w:t>
            </w:r>
          </w:p>
        </w:tc>
        <w:tc>
          <w:tcPr>
            <w:tcW w:w="2074" w:type="dxa"/>
          </w:tcPr>
          <w:p w14:paraId="2017F158" w14:textId="656D2963" w:rsidR="000D3676" w:rsidRPr="00FD5B5E" w:rsidRDefault="003F11CC" w:rsidP="000D3676">
            <w:pPr>
              <w:jc w:val="center"/>
            </w:pPr>
            <w:r w:rsidRPr="00FD5B5E">
              <w:t>1280,01</w:t>
            </w:r>
          </w:p>
        </w:tc>
        <w:tc>
          <w:tcPr>
            <w:tcW w:w="2074" w:type="dxa"/>
          </w:tcPr>
          <w:p w14:paraId="51928E31" w14:textId="349FD074" w:rsidR="000D3676" w:rsidRPr="00FD5B5E" w:rsidRDefault="00C72D9A" w:rsidP="000D3676">
            <w:pPr>
              <w:jc w:val="center"/>
            </w:pPr>
            <w:r w:rsidRPr="00FD5B5E">
              <w:t>5905</w:t>
            </w:r>
          </w:p>
        </w:tc>
        <w:tc>
          <w:tcPr>
            <w:tcW w:w="2074" w:type="dxa"/>
          </w:tcPr>
          <w:p w14:paraId="7E65C3BD" w14:textId="7055BF9C" w:rsidR="000D3676" w:rsidRPr="00FD5B5E" w:rsidRDefault="003F11CC" w:rsidP="000D3676">
            <w:pPr>
              <w:jc w:val="center"/>
            </w:pPr>
            <w:r w:rsidRPr="00FD5B5E">
              <w:t>21 %</w:t>
            </w:r>
          </w:p>
        </w:tc>
      </w:tr>
    </w:tbl>
    <w:p w14:paraId="4E3A2FE7" w14:textId="77777777" w:rsidR="000D3676" w:rsidRPr="00FD5B5E" w:rsidRDefault="000D3676" w:rsidP="000D3676">
      <w:pPr>
        <w:jc w:val="center"/>
      </w:pPr>
    </w:p>
    <w:p w14:paraId="688EB60F" w14:textId="1F48B59B" w:rsidR="003F11CC" w:rsidRPr="00FD5B5E" w:rsidRDefault="003F11CC" w:rsidP="003F11CC">
      <w:pPr>
        <w:jc w:val="both"/>
      </w:pPr>
      <w:r w:rsidRPr="00FD5B5E">
        <w:t xml:space="preserve">  Salīdzinot</w:t>
      </w:r>
      <w:r w:rsidR="00FD5B5E" w:rsidRPr="00FD5B5E">
        <w:t xml:space="preserve"> EK </w:t>
      </w:r>
      <w:r w:rsidRPr="00FD5B5E">
        <w:t xml:space="preserve"> Īstenošanas regul</w:t>
      </w:r>
      <w:r w:rsidR="00FD5B5E" w:rsidRPr="00FD5B5E">
        <w:t xml:space="preserve">u  atbalstu piešķīrumu dabas katastrofu zaudējumu kompensācijām redzams, ka 2023.g.  piešķīrumi ir tikai 21% līdz 69% no 2025. gada MK Noteikumiem </w:t>
      </w:r>
      <w:proofErr w:type="spellStart"/>
      <w:r w:rsidR="00FD5B5E" w:rsidRPr="00FD5B5E">
        <w:t>Nr</w:t>
      </w:r>
      <w:proofErr w:type="spellEnd"/>
      <w:r w:rsidR="00FD5B5E" w:rsidRPr="00FD5B5E">
        <w:t xml:space="preserve"> 371.</w:t>
      </w:r>
    </w:p>
    <w:p w14:paraId="19223865" w14:textId="186E3A10" w:rsidR="00FD5B5E" w:rsidRDefault="00FD5B5E" w:rsidP="003F11CC">
      <w:pPr>
        <w:jc w:val="both"/>
      </w:pPr>
      <w:r w:rsidRPr="00FD5B5E">
        <w:t xml:space="preserve">  L</w:t>
      </w:r>
      <w:r>
        <w:t>AD</w:t>
      </w:r>
      <w:r w:rsidRPr="00FD5B5E">
        <w:t xml:space="preserve"> ieskaitot 2023.g. 100% ražas zaudējumu gadījuma </w:t>
      </w:r>
      <w:r>
        <w:t>z</w:t>
      </w:r>
      <w:r w:rsidR="00306D92">
        <w:t>e</w:t>
      </w:r>
      <w:r>
        <w:t xml:space="preserve">mnieku saimniecībai – pētnieciskai jaunsaimniecībai Gundegas 23% no zaudējumiem </w:t>
      </w:r>
      <w:r w:rsidRPr="00FD5B5E">
        <w:t>dokumentēja kā “Daļējs atbalsts”</w:t>
      </w:r>
      <w:r>
        <w:t>.</w:t>
      </w:r>
    </w:p>
    <w:p w14:paraId="23A25380" w14:textId="2FABE224" w:rsidR="00306D92" w:rsidRPr="00FD5B5E" w:rsidRDefault="00306D92" w:rsidP="003F11CC">
      <w:pPr>
        <w:jc w:val="both"/>
      </w:pPr>
      <w:r>
        <w:t>2025. gada 2. jūlijs                                                          A. Špats</w:t>
      </w:r>
    </w:p>
    <w:sectPr w:rsidR="00306D92" w:rsidRPr="00FD5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86"/>
    <w:rsid w:val="000D3676"/>
    <w:rsid w:val="00306D92"/>
    <w:rsid w:val="003F11CC"/>
    <w:rsid w:val="008614A0"/>
    <w:rsid w:val="00AF3186"/>
    <w:rsid w:val="00C72D9A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9D9"/>
  <w15:chartTrackingRefBased/>
  <w15:docId w15:val="{B5D2597C-C803-453C-990E-2FBEB2E1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F3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F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F3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F3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F3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F3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F3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F3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F3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F3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F3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F3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F318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F318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F318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F318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F318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F318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F3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F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F3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F3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F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F318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F318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F318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F3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F318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F3186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D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Špats</dc:creator>
  <cp:keywords/>
  <dc:description/>
  <cp:lastModifiedBy>Lauris Špats</cp:lastModifiedBy>
  <cp:revision>2</cp:revision>
  <dcterms:created xsi:type="dcterms:W3CDTF">2025-07-02T06:38:00Z</dcterms:created>
  <dcterms:modified xsi:type="dcterms:W3CDTF">2025-07-02T06:38:00Z</dcterms:modified>
</cp:coreProperties>
</file>