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3.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drawings/drawing4.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5.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185E" w14:textId="77777777" w:rsidR="00DE0F41" w:rsidRPr="00734F1A" w:rsidRDefault="00DE0F41" w:rsidP="00DE0F41">
      <w:pPr>
        <w:suppressAutoHyphens/>
        <w:spacing w:after="0" w:line="240" w:lineRule="auto"/>
        <w:jc w:val="center"/>
        <w:rPr>
          <w:rStyle w:val="SubtleReference"/>
          <w:rFonts w:ascii="Times New Roman" w:eastAsiaTheme="minorEastAsia" w:hAnsi="Times New Roman" w:cs="Times New Roman"/>
          <w:b/>
          <w:color w:val="auto"/>
          <w:sz w:val="28"/>
          <w:szCs w:val="28"/>
          <w:lang w:eastAsia="lv-LV"/>
        </w:rPr>
      </w:pPr>
      <w:r w:rsidRPr="00734F1A">
        <w:rPr>
          <w:rStyle w:val="SubtleReference"/>
          <w:rFonts w:ascii="Times New Roman" w:eastAsiaTheme="minorEastAsia" w:hAnsi="Times New Roman" w:cs="Times New Roman"/>
          <w:b/>
          <w:color w:val="auto"/>
          <w:sz w:val="28"/>
          <w:szCs w:val="28"/>
          <w:lang w:eastAsia="lv-LV"/>
        </w:rPr>
        <w:t>Informatīvais ziņojums</w:t>
      </w:r>
    </w:p>
    <w:p w14:paraId="30DE6FBB" w14:textId="1BBB5922" w:rsidR="002B5836" w:rsidRPr="00E237E5" w:rsidRDefault="00DE0F41" w:rsidP="002B5836">
      <w:pPr>
        <w:spacing w:after="240" w:line="240" w:lineRule="auto"/>
        <w:jc w:val="center"/>
        <w:rPr>
          <w:rFonts w:ascii="Times New Roman" w:eastAsia="Times New Roman" w:hAnsi="Times New Roman"/>
          <w:sz w:val="28"/>
          <w:szCs w:val="20"/>
          <w:lang w:eastAsia="lv-LV"/>
        </w:rPr>
      </w:pPr>
      <w:r w:rsidRPr="00734F1A">
        <w:rPr>
          <w:rFonts w:ascii="Times New Roman" w:hAnsi="Times New Roman" w:cs="Times New Roman"/>
          <w:b/>
          <w:sz w:val="28"/>
          <w:szCs w:val="28"/>
        </w:rPr>
        <w:t xml:space="preserve">Par </w:t>
      </w:r>
      <w:r w:rsidR="002B5836" w:rsidRPr="00183A26">
        <w:rPr>
          <w:rFonts w:ascii="Times New Roman" w:hAnsi="Times New Roman" w:cs="Times New Roman"/>
          <w:b/>
          <w:sz w:val="28"/>
          <w:szCs w:val="28"/>
        </w:rPr>
        <w:t>samazinātās</w:t>
      </w:r>
      <w:r w:rsidR="002B5836" w:rsidRPr="00734F1A">
        <w:rPr>
          <w:rFonts w:ascii="Times New Roman" w:hAnsi="Times New Roman" w:cs="Times New Roman"/>
          <w:b/>
          <w:sz w:val="28"/>
          <w:szCs w:val="28"/>
        </w:rPr>
        <w:t xml:space="preserve"> pievienotās vērtības nodokļa </w:t>
      </w:r>
      <w:r w:rsidR="002B5836" w:rsidRPr="00183A26">
        <w:rPr>
          <w:rFonts w:ascii="Times New Roman" w:hAnsi="Times New Roman" w:cs="Times New Roman"/>
          <w:b/>
          <w:sz w:val="28"/>
          <w:szCs w:val="28"/>
        </w:rPr>
        <w:t xml:space="preserve">likmes piecu procentu apmērā ieviešanas </w:t>
      </w:r>
      <w:r w:rsidR="005E573B">
        <w:rPr>
          <w:rFonts w:ascii="Times New Roman" w:hAnsi="Times New Roman" w:cs="Times New Roman"/>
          <w:b/>
          <w:sz w:val="28"/>
          <w:szCs w:val="28"/>
        </w:rPr>
        <w:t xml:space="preserve">efektivitāti </w:t>
      </w:r>
      <w:r w:rsidR="002B5836" w:rsidRPr="00183A26">
        <w:rPr>
          <w:rFonts w:ascii="Times New Roman" w:hAnsi="Times New Roman" w:cs="Times New Roman"/>
          <w:b/>
          <w:sz w:val="28"/>
          <w:szCs w:val="28"/>
        </w:rPr>
        <w:t>svaigiem augļiem, ogām un dārzeņiem</w:t>
      </w:r>
    </w:p>
    <w:p w14:paraId="29931BCF" w14:textId="025D7A0E" w:rsidR="00DE0F41" w:rsidRPr="00AD070E" w:rsidRDefault="00DE0F41" w:rsidP="00DE7B44">
      <w:pPr>
        <w:spacing w:after="0" w:line="240" w:lineRule="auto"/>
        <w:ind w:firstLine="709"/>
        <w:jc w:val="both"/>
        <w:rPr>
          <w:rFonts w:ascii="Times New Roman" w:eastAsia="Times New Roman" w:hAnsi="Times New Roman" w:cs="Times New Roman"/>
          <w:sz w:val="24"/>
          <w:szCs w:val="24"/>
        </w:rPr>
      </w:pPr>
      <w:r w:rsidRPr="00AD070E">
        <w:rPr>
          <w:rFonts w:ascii="Times New Roman" w:eastAsia="Times New Roman" w:hAnsi="Times New Roman" w:cs="Times New Roman"/>
          <w:sz w:val="24"/>
          <w:szCs w:val="24"/>
        </w:rPr>
        <w:t>Informatīvais ziņojums sagatavots atbilstoši Ministru kabineta 2020.</w:t>
      </w:r>
      <w:r w:rsidR="00D27B3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gada 30.</w:t>
      </w:r>
      <w:r w:rsidR="00D27B3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septembra sēdes protokola Nr.</w:t>
      </w:r>
      <w:r w:rsidR="00D27B3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57 28.§ “Likumprojekts “Grozījumi Pievienotās vērtības nodokļa likumā”” (turpmāk – MK protokols Nr.</w:t>
      </w:r>
      <w:r w:rsidR="00CA18D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57) 4.</w:t>
      </w:r>
      <w:r w:rsidR="00D27B3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 xml:space="preserve">punktam, ar kuru Zemkopības ministrijai </w:t>
      </w:r>
      <w:r w:rsidR="00D27B3A" w:rsidRPr="00AD070E">
        <w:rPr>
          <w:rFonts w:ascii="Times New Roman" w:eastAsia="Times New Roman" w:hAnsi="Times New Roman" w:cs="Times New Roman"/>
          <w:sz w:val="24"/>
          <w:szCs w:val="24"/>
        </w:rPr>
        <w:t xml:space="preserve">uzdots </w:t>
      </w:r>
      <w:r w:rsidRPr="00AD070E">
        <w:rPr>
          <w:rFonts w:ascii="Times New Roman" w:eastAsia="Times New Roman" w:hAnsi="Times New Roman" w:cs="Times New Roman"/>
          <w:sz w:val="24"/>
          <w:szCs w:val="24"/>
        </w:rPr>
        <w:t>līdz 2023.</w:t>
      </w:r>
      <w:r w:rsidR="00D27B3A">
        <w:rPr>
          <w:rFonts w:ascii="Times New Roman" w:eastAsia="Times New Roman" w:hAnsi="Times New Roman" w:cs="Times New Roman"/>
          <w:sz w:val="24"/>
          <w:szCs w:val="24"/>
        </w:rPr>
        <w:t xml:space="preserve"> </w:t>
      </w:r>
      <w:r w:rsidRPr="00AD070E">
        <w:rPr>
          <w:rFonts w:ascii="Times New Roman" w:eastAsia="Times New Roman" w:hAnsi="Times New Roman" w:cs="Times New Roman"/>
          <w:sz w:val="24"/>
          <w:szCs w:val="24"/>
        </w:rPr>
        <w:t>gada 1.</w:t>
      </w:r>
      <w:r w:rsidR="00D27B3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 xml:space="preserve">augustam sagatavot un iesniegt izskatīšanai Ministru kabinetā informatīvo ziņojumu par augļkopības un dārzeņkopības nozares analīzi, </w:t>
      </w:r>
      <w:r w:rsidR="00D27B3A">
        <w:rPr>
          <w:rFonts w:ascii="Times New Roman" w:eastAsia="Times New Roman" w:hAnsi="Times New Roman" w:cs="Times New Roman"/>
          <w:sz w:val="24"/>
          <w:szCs w:val="24"/>
        </w:rPr>
        <w:t xml:space="preserve">tajā </w:t>
      </w:r>
      <w:r w:rsidRPr="00AD070E">
        <w:rPr>
          <w:rFonts w:ascii="Times New Roman" w:eastAsia="Times New Roman" w:hAnsi="Times New Roman" w:cs="Times New Roman"/>
          <w:sz w:val="24"/>
          <w:szCs w:val="24"/>
        </w:rPr>
        <w:t>snie</w:t>
      </w:r>
      <w:r w:rsidR="00D27B3A">
        <w:rPr>
          <w:rFonts w:ascii="Times New Roman" w:eastAsia="Times New Roman" w:hAnsi="Times New Roman" w:cs="Times New Roman"/>
          <w:sz w:val="24"/>
          <w:szCs w:val="24"/>
        </w:rPr>
        <w:t>dzot</w:t>
      </w:r>
      <w:r w:rsidRPr="00AD070E">
        <w:rPr>
          <w:rFonts w:ascii="Times New Roman" w:eastAsia="Times New Roman" w:hAnsi="Times New Roman" w:cs="Times New Roman"/>
          <w:sz w:val="24"/>
          <w:szCs w:val="24"/>
        </w:rPr>
        <w:t xml:space="preserve"> MK protokola Nr.</w:t>
      </w:r>
      <w:r w:rsidR="00CA18D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57 3.</w:t>
      </w:r>
      <w:r w:rsidR="00CA18DA">
        <w:rPr>
          <w:rFonts w:ascii="Times New Roman" w:eastAsia="Times New Roman" w:hAnsi="Times New Roman" w:cs="Times New Roman"/>
          <w:sz w:val="24"/>
          <w:szCs w:val="24"/>
        </w:rPr>
        <w:t> </w:t>
      </w:r>
      <w:r w:rsidRPr="00AD070E">
        <w:rPr>
          <w:rFonts w:ascii="Times New Roman" w:eastAsia="Times New Roman" w:hAnsi="Times New Roman" w:cs="Times New Roman"/>
          <w:sz w:val="24"/>
          <w:szCs w:val="24"/>
        </w:rPr>
        <w:t>punktā minēto rezultatīvo rādītāju novērtējum</w:t>
      </w:r>
      <w:r w:rsidR="00D27B3A">
        <w:rPr>
          <w:rFonts w:ascii="Times New Roman" w:eastAsia="Times New Roman" w:hAnsi="Times New Roman" w:cs="Times New Roman"/>
          <w:sz w:val="24"/>
          <w:szCs w:val="24"/>
        </w:rPr>
        <w:t>u</w:t>
      </w:r>
      <w:r w:rsidRPr="00AD070E">
        <w:rPr>
          <w:rFonts w:ascii="Times New Roman" w:eastAsia="Times New Roman" w:hAnsi="Times New Roman" w:cs="Times New Roman"/>
          <w:sz w:val="24"/>
          <w:szCs w:val="24"/>
        </w:rPr>
        <w:t xml:space="preserve"> un augļkopības un dārzeņkopības nozaru attīstības analīze</w:t>
      </w:r>
      <w:r w:rsidR="00D27B3A">
        <w:rPr>
          <w:rFonts w:ascii="Times New Roman" w:eastAsia="Times New Roman" w:hAnsi="Times New Roman" w:cs="Times New Roman"/>
          <w:sz w:val="24"/>
          <w:szCs w:val="24"/>
        </w:rPr>
        <w:t>s rezultātus</w:t>
      </w:r>
      <w:r w:rsidRPr="00AD070E">
        <w:rPr>
          <w:rFonts w:ascii="Times New Roman" w:eastAsia="Times New Roman" w:hAnsi="Times New Roman" w:cs="Times New Roman"/>
          <w:sz w:val="24"/>
          <w:szCs w:val="24"/>
        </w:rPr>
        <w:t xml:space="preserve">, tostarp par platību </w:t>
      </w:r>
      <w:r w:rsidR="00D27B3A">
        <w:rPr>
          <w:rFonts w:ascii="Times New Roman" w:eastAsia="Times New Roman" w:hAnsi="Times New Roman" w:cs="Times New Roman"/>
          <w:sz w:val="24"/>
          <w:szCs w:val="24"/>
        </w:rPr>
        <w:t>pār</w:t>
      </w:r>
      <w:r w:rsidRPr="00AD070E">
        <w:rPr>
          <w:rFonts w:ascii="Times New Roman" w:eastAsia="Times New Roman" w:hAnsi="Times New Roman" w:cs="Times New Roman"/>
          <w:sz w:val="24"/>
          <w:szCs w:val="24"/>
        </w:rPr>
        <w:t>maiņām, saražotās produkcijas apjom</w:t>
      </w:r>
      <w:r w:rsidR="00D27B3A">
        <w:rPr>
          <w:rFonts w:ascii="Times New Roman" w:eastAsia="Times New Roman" w:hAnsi="Times New Roman" w:cs="Times New Roman"/>
          <w:sz w:val="24"/>
          <w:szCs w:val="24"/>
        </w:rPr>
        <w:t>u</w:t>
      </w:r>
      <w:r w:rsidRPr="00AD070E">
        <w:rPr>
          <w:rFonts w:ascii="Times New Roman" w:eastAsia="Times New Roman" w:hAnsi="Times New Roman" w:cs="Times New Roman"/>
          <w:sz w:val="24"/>
          <w:szCs w:val="24"/>
        </w:rPr>
        <w:t xml:space="preserve">, </w:t>
      </w:r>
      <w:r w:rsidR="00D27B3A">
        <w:rPr>
          <w:rFonts w:ascii="Times New Roman" w:eastAsia="Times New Roman" w:hAnsi="Times New Roman" w:cs="Times New Roman"/>
          <w:sz w:val="24"/>
          <w:szCs w:val="24"/>
        </w:rPr>
        <w:t xml:space="preserve">kā arī </w:t>
      </w:r>
      <w:r w:rsidRPr="00AD070E">
        <w:rPr>
          <w:rFonts w:ascii="Times New Roman" w:eastAsia="Times New Roman" w:hAnsi="Times New Roman" w:cs="Times New Roman"/>
          <w:sz w:val="24"/>
          <w:szCs w:val="24"/>
        </w:rPr>
        <w:t xml:space="preserve">ārējās tirdzniecības </w:t>
      </w:r>
      <w:r w:rsidR="00D27B3A">
        <w:rPr>
          <w:rFonts w:ascii="Times New Roman" w:eastAsia="Times New Roman" w:hAnsi="Times New Roman" w:cs="Times New Roman"/>
          <w:sz w:val="24"/>
          <w:szCs w:val="24"/>
        </w:rPr>
        <w:t>un</w:t>
      </w:r>
      <w:r w:rsidRPr="00AD070E">
        <w:rPr>
          <w:rFonts w:ascii="Times New Roman" w:eastAsia="Times New Roman" w:hAnsi="Times New Roman" w:cs="Times New Roman"/>
          <w:sz w:val="24"/>
          <w:szCs w:val="24"/>
        </w:rPr>
        <w:t xml:space="preserve"> darbaspēka </w:t>
      </w:r>
      <w:r w:rsidR="00D27B3A">
        <w:rPr>
          <w:rFonts w:ascii="Times New Roman" w:eastAsia="Times New Roman" w:hAnsi="Times New Roman" w:cs="Times New Roman"/>
          <w:sz w:val="24"/>
          <w:szCs w:val="24"/>
        </w:rPr>
        <w:t>pār</w:t>
      </w:r>
      <w:r w:rsidRPr="00AD070E">
        <w:rPr>
          <w:rFonts w:ascii="Times New Roman" w:eastAsia="Times New Roman" w:hAnsi="Times New Roman" w:cs="Times New Roman"/>
          <w:sz w:val="24"/>
          <w:szCs w:val="24"/>
        </w:rPr>
        <w:t>maiņām.</w:t>
      </w:r>
    </w:p>
    <w:p w14:paraId="0B9EA593" w14:textId="31F64AF1" w:rsidR="00DE0F41" w:rsidRPr="00AD070E" w:rsidRDefault="00DE0F41" w:rsidP="00CF4AB9">
      <w:pPr>
        <w:spacing w:after="360" w:line="240" w:lineRule="auto"/>
        <w:ind w:firstLine="709"/>
        <w:jc w:val="both"/>
        <w:rPr>
          <w:rFonts w:ascii="Times New Roman" w:eastAsia="Times New Roman" w:hAnsi="Times New Roman" w:cs="Times New Roman"/>
          <w:sz w:val="24"/>
          <w:szCs w:val="24"/>
        </w:rPr>
      </w:pPr>
      <w:r w:rsidRPr="00AD070E">
        <w:rPr>
          <w:rFonts w:ascii="Times New Roman" w:eastAsia="Times New Roman" w:hAnsi="Times New Roman" w:cs="Times New Roman"/>
          <w:sz w:val="24"/>
          <w:szCs w:val="24"/>
        </w:rPr>
        <w:t xml:space="preserve">Informatīvajā ziņojumā sniegta analītiska informācija </w:t>
      </w:r>
      <w:r>
        <w:rPr>
          <w:rFonts w:ascii="Times New Roman" w:eastAsia="Times New Roman" w:hAnsi="Times New Roman" w:cs="Times New Roman"/>
          <w:sz w:val="24"/>
          <w:szCs w:val="24"/>
        </w:rPr>
        <w:t>par Zemkopības ministrijai MK protokola Nr.</w:t>
      </w:r>
      <w:r w:rsidR="00D27B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57 4.</w:t>
      </w:r>
      <w:r w:rsidR="00D27B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punktā dotā uzdevuma izpildi</w:t>
      </w:r>
      <w:r w:rsidR="00D27B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 tajā </w:t>
      </w:r>
      <w:r w:rsidRPr="00AD070E">
        <w:rPr>
          <w:rFonts w:ascii="Times New Roman" w:eastAsia="Times New Roman" w:hAnsi="Times New Roman" w:cs="Times New Roman"/>
          <w:sz w:val="24"/>
          <w:szCs w:val="24"/>
        </w:rPr>
        <w:t>apkopotie secinājumi un sagatavotie priekšlikumi var tikt izmantoti nodokļu politikas veidošanā un lēmumu pieņemšanā.</w:t>
      </w:r>
    </w:p>
    <w:p w14:paraId="74D349E2" w14:textId="5534D1F9" w:rsidR="002E00FE" w:rsidRPr="007442A5" w:rsidRDefault="008D102E" w:rsidP="00CF4AB9">
      <w:pPr>
        <w:pStyle w:val="ListParagraph"/>
        <w:numPr>
          <w:ilvl w:val="0"/>
          <w:numId w:val="1"/>
        </w:numPr>
        <w:tabs>
          <w:tab w:val="left" w:pos="1134"/>
        </w:tabs>
        <w:spacing w:after="120" w:line="240" w:lineRule="auto"/>
        <w:ind w:left="0" w:firstLine="709"/>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DE0F41" w:rsidRPr="00012F08">
        <w:rPr>
          <w:rFonts w:ascii="Times New Roman" w:eastAsia="Times New Roman" w:hAnsi="Times New Roman" w:cs="Times New Roman"/>
          <w:b/>
          <w:sz w:val="24"/>
          <w:szCs w:val="24"/>
        </w:rPr>
        <w:t xml:space="preserve">amazinātās </w:t>
      </w:r>
      <w:r w:rsidR="00B313B6" w:rsidRPr="00012F08">
        <w:rPr>
          <w:rFonts w:ascii="Times New Roman" w:eastAsia="Times New Roman" w:hAnsi="Times New Roman" w:cs="Times New Roman"/>
          <w:b/>
          <w:sz w:val="24"/>
          <w:szCs w:val="24"/>
        </w:rPr>
        <w:t xml:space="preserve">PVN </w:t>
      </w:r>
      <w:r w:rsidR="00DE0F41" w:rsidRPr="00012F08">
        <w:rPr>
          <w:rFonts w:ascii="Times New Roman" w:eastAsia="Times New Roman" w:hAnsi="Times New Roman" w:cs="Times New Roman"/>
          <w:b/>
          <w:sz w:val="24"/>
          <w:szCs w:val="24"/>
        </w:rPr>
        <w:t>likmes ieviešana</w:t>
      </w:r>
      <w:r w:rsidR="00012F08" w:rsidRPr="00012F08">
        <w:rPr>
          <w:rFonts w:ascii="Times New Roman" w:eastAsia="Times New Roman" w:hAnsi="Times New Roman" w:cs="Times New Roman"/>
          <w:b/>
          <w:sz w:val="24"/>
          <w:szCs w:val="24"/>
        </w:rPr>
        <w:t>s mērķis un noteiktie rādītāji</w:t>
      </w:r>
      <w:r w:rsidR="002E00FE" w:rsidRPr="00012F08">
        <w:rPr>
          <w:rFonts w:ascii="Times New Roman" w:eastAsia="Times New Roman" w:hAnsi="Times New Roman" w:cs="Times New Roman"/>
          <w:b/>
          <w:sz w:val="24"/>
          <w:szCs w:val="24"/>
        </w:rPr>
        <w:t xml:space="preserve"> </w:t>
      </w:r>
    </w:p>
    <w:p w14:paraId="7DCD0AE1" w14:textId="2650A2F6" w:rsidR="00DE0F41" w:rsidRPr="007442A5" w:rsidRDefault="00DE0F41" w:rsidP="00DE7B44">
      <w:pPr>
        <w:pStyle w:val="FootnoteText"/>
        <w:ind w:firstLine="709"/>
        <w:jc w:val="both"/>
        <w:rPr>
          <w:rFonts w:ascii="Times New Roman" w:hAnsi="Times New Roman" w:cs="Times New Roman"/>
          <w:sz w:val="24"/>
          <w:szCs w:val="24"/>
        </w:rPr>
      </w:pPr>
      <w:r w:rsidRPr="007442A5">
        <w:rPr>
          <w:rFonts w:ascii="Times New Roman" w:hAnsi="Times New Roman" w:cs="Times New Roman"/>
          <w:sz w:val="24"/>
          <w:szCs w:val="24"/>
        </w:rPr>
        <w:t>Ministru kabineta 2017.</w:t>
      </w:r>
      <w:r w:rsidR="00D27B3A">
        <w:rPr>
          <w:rFonts w:ascii="Times New Roman" w:hAnsi="Times New Roman" w:cs="Times New Roman"/>
          <w:sz w:val="24"/>
          <w:szCs w:val="24"/>
        </w:rPr>
        <w:t xml:space="preserve"> </w:t>
      </w:r>
      <w:r w:rsidRPr="007442A5">
        <w:rPr>
          <w:rFonts w:ascii="Times New Roman" w:hAnsi="Times New Roman" w:cs="Times New Roman"/>
          <w:sz w:val="24"/>
          <w:szCs w:val="24"/>
        </w:rPr>
        <w:t>gada 22.</w:t>
      </w:r>
      <w:r w:rsidR="00D27B3A">
        <w:rPr>
          <w:rFonts w:ascii="Times New Roman" w:hAnsi="Times New Roman" w:cs="Times New Roman"/>
          <w:sz w:val="24"/>
          <w:szCs w:val="24"/>
        </w:rPr>
        <w:t xml:space="preserve"> </w:t>
      </w:r>
      <w:r w:rsidRPr="007442A5">
        <w:rPr>
          <w:rFonts w:ascii="Times New Roman" w:hAnsi="Times New Roman" w:cs="Times New Roman"/>
          <w:sz w:val="24"/>
          <w:szCs w:val="24"/>
        </w:rPr>
        <w:t>augusta sēdes darba kārtībā tika iekļauts Zemkopības ministrijas iesniegtais informatīvais ziņojums “Par pievienotās vērtības nodokļa likmes diferencēšanu pārtikai”</w:t>
      </w:r>
      <w:r w:rsidRPr="007442A5">
        <w:rPr>
          <w:rStyle w:val="FootnoteReference"/>
          <w:rFonts w:ascii="Times New Roman" w:hAnsi="Times New Roman" w:cs="Times New Roman"/>
          <w:sz w:val="24"/>
          <w:szCs w:val="24"/>
        </w:rPr>
        <w:footnoteReference w:id="2"/>
      </w:r>
      <w:r w:rsidRPr="007442A5">
        <w:rPr>
          <w:rFonts w:ascii="Times New Roman" w:hAnsi="Times New Roman" w:cs="Times New Roman"/>
          <w:sz w:val="24"/>
          <w:szCs w:val="24"/>
        </w:rPr>
        <w:t xml:space="preserve"> (turpmāk – 2017.</w:t>
      </w:r>
      <w:r w:rsidR="00D27B3A">
        <w:rPr>
          <w:rFonts w:ascii="Times New Roman" w:hAnsi="Times New Roman" w:cs="Times New Roman"/>
          <w:sz w:val="24"/>
          <w:szCs w:val="24"/>
        </w:rPr>
        <w:t xml:space="preserve"> </w:t>
      </w:r>
      <w:r w:rsidRPr="007442A5">
        <w:rPr>
          <w:rFonts w:ascii="Times New Roman" w:hAnsi="Times New Roman" w:cs="Times New Roman"/>
          <w:sz w:val="24"/>
          <w:szCs w:val="24"/>
        </w:rPr>
        <w:t>gada informatīvais ziņojums)</w:t>
      </w:r>
      <w:r w:rsidR="00EB7C75">
        <w:rPr>
          <w:rFonts w:ascii="Times New Roman" w:hAnsi="Times New Roman" w:cs="Times New Roman"/>
          <w:sz w:val="24"/>
          <w:szCs w:val="24"/>
        </w:rPr>
        <w:t>, ar kuru Zemkopības ministrija rosināja</w:t>
      </w:r>
      <w:r w:rsidRPr="007442A5">
        <w:rPr>
          <w:rFonts w:ascii="Times New Roman" w:hAnsi="Times New Roman" w:cs="Times New Roman"/>
          <w:sz w:val="24"/>
          <w:szCs w:val="24"/>
        </w:rPr>
        <w:t xml:space="preserve"> ieviest samazināto </w:t>
      </w:r>
      <w:r w:rsidR="00D27B3A" w:rsidRPr="007442A5">
        <w:rPr>
          <w:rFonts w:ascii="Times New Roman" w:hAnsi="Times New Roman" w:cs="Times New Roman"/>
          <w:sz w:val="24"/>
          <w:szCs w:val="24"/>
        </w:rPr>
        <w:t xml:space="preserve">PVN </w:t>
      </w:r>
      <w:r w:rsidRPr="007442A5">
        <w:rPr>
          <w:rFonts w:ascii="Times New Roman" w:hAnsi="Times New Roman" w:cs="Times New Roman"/>
          <w:sz w:val="24"/>
          <w:szCs w:val="24"/>
        </w:rPr>
        <w:t>likmi 5</w:t>
      </w:r>
      <w:r w:rsidR="00D27B3A">
        <w:rPr>
          <w:rFonts w:ascii="Times New Roman" w:hAnsi="Times New Roman" w:cs="Times New Roman"/>
          <w:sz w:val="24"/>
          <w:szCs w:val="24"/>
        </w:rPr>
        <w:t> </w:t>
      </w:r>
      <w:r w:rsidRPr="007442A5">
        <w:rPr>
          <w:rFonts w:ascii="Times New Roman" w:hAnsi="Times New Roman" w:cs="Times New Roman"/>
          <w:sz w:val="24"/>
          <w:szCs w:val="24"/>
        </w:rPr>
        <w:t xml:space="preserve">% apmērā svaigiem augļiem, ogām un dārzeņiem, tostarp kartupeļiem, </w:t>
      </w:r>
      <w:r w:rsidR="00D27B3A">
        <w:rPr>
          <w:rFonts w:ascii="Times New Roman" w:hAnsi="Times New Roman" w:cs="Times New Roman"/>
          <w:sz w:val="24"/>
          <w:szCs w:val="24"/>
        </w:rPr>
        <w:t>lai</w:t>
      </w:r>
      <w:r w:rsidRPr="007442A5">
        <w:rPr>
          <w:rFonts w:ascii="Times New Roman" w:hAnsi="Times New Roman" w:cs="Times New Roman"/>
          <w:sz w:val="24"/>
          <w:szCs w:val="24"/>
        </w:rPr>
        <w:t xml:space="preserve"> mazināt</w:t>
      </w:r>
      <w:r w:rsidR="00D27B3A">
        <w:rPr>
          <w:rFonts w:ascii="Times New Roman" w:hAnsi="Times New Roman" w:cs="Times New Roman"/>
          <w:sz w:val="24"/>
          <w:szCs w:val="24"/>
        </w:rPr>
        <w:t>u</w:t>
      </w:r>
      <w:r w:rsidRPr="007442A5">
        <w:rPr>
          <w:rFonts w:ascii="Times New Roman" w:hAnsi="Times New Roman" w:cs="Times New Roman"/>
          <w:sz w:val="24"/>
          <w:szCs w:val="24"/>
        </w:rPr>
        <w:t xml:space="preserve"> ēnu ekonomiku, palielināt</w:t>
      </w:r>
      <w:r w:rsidR="00D27B3A">
        <w:rPr>
          <w:rFonts w:ascii="Times New Roman" w:hAnsi="Times New Roman" w:cs="Times New Roman"/>
          <w:sz w:val="24"/>
          <w:szCs w:val="24"/>
        </w:rPr>
        <w:t>u</w:t>
      </w:r>
      <w:r w:rsidRPr="007442A5">
        <w:rPr>
          <w:rFonts w:ascii="Times New Roman" w:hAnsi="Times New Roman" w:cs="Times New Roman"/>
          <w:sz w:val="24"/>
          <w:szCs w:val="24"/>
        </w:rPr>
        <w:t xml:space="preserve"> </w:t>
      </w:r>
      <w:r w:rsidR="000E7A71" w:rsidRPr="007442A5">
        <w:rPr>
          <w:rFonts w:ascii="Times New Roman" w:hAnsi="Times New Roman" w:cs="Times New Roman"/>
          <w:sz w:val="24"/>
          <w:szCs w:val="24"/>
        </w:rPr>
        <w:t xml:space="preserve">konkurētspēju </w:t>
      </w:r>
      <w:r w:rsidR="000E7A71">
        <w:rPr>
          <w:rFonts w:ascii="Times New Roman" w:hAnsi="Times New Roman" w:cs="Times New Roman"/>
          <w:sz w:val="24"/>
          <w:szCs w:val="24"/>
        </w:rPr>
        <w:t>komersantiem, kas</w:t>
      </w:r>
      <w:r w:rsidR="000E7A71" w:rsidRPr="007442A5">
        <w:rPr>
          <w:rFonts w:ascii="Times New Roman" w:hAnsi="Times New Roman" w:cs="Times New Roman"/>
          <w:sz w:val="24"/>
          <w:szCs w:val="24"/>
        </w:rPr>
        <w:t xml:space="preserve"> darboj</w:t>
      </w:r>
      <w:r w:rsidR="000E7A71">
        <w:rPr>
          <w:rFonts w:ascii="Times New Roman" w:hAnsi="Times New Roman" w:cs="Times New Roman"/>
          <w:sz w:val="24"/>
          <w:szCs w:val="24"/>
        </w:rPr>
        <w:t xml:space="preserve">as </w:t>
      </w:r>
      <w:r w:rsidRPr="007442A5">
        <w:rPr>
          <w:rFonts w:ascii="Times New Roman" w:hAnsi="Times New Roman" w:cs="Times New Roman"/>
          <w:sz w:val="24"/>
          <w:szCs w:val="24"/>
        </w:rPr>
        <w:t xml:space="preserve">legālajā tirgū </w:t>
      </w:r>
      <w:r w:rsidR="000E7A71">
        <w:rPr>
          <w:rFonts w:ascii="Times New Roman" w:hAnsi="Times New Roman" w:cs="Times New Roman"/>
          <w:sz w:val="24"/>
          <w:szCs w:val="24"/>
        </w:rPr>
        <w:t>,</w:t>
      </w:r>
      <w:r w:rsidRPr="007442A5">
        <w:rPr>
          <w:rFonts w:ascii="Times New Roman" w:hAnsi="Times New Roman" w:cs="Times New Roman"/>
          <w:sz w:val="24"/>
          <w:szCs w:val="24"/>
        </w:rPr>
        <w:t xml:space="preserve"> mazināt</w:t>
      </w:r>
      <w:r w:rsidR="00D27B3A">
        <w:rPr>
          <w:rFonts w:ascii="Times New Roman" w:hAnsi="Times New Roman" w:cs="Times New Roman"/>
          <w:sz w:val="24"/>
          <w:szCs w:val="24"/>
        </w:rPr>
        <w:t>u</w:t>
      </w:r>
      <w:r w:rsidRPr="007442A5">
        <w:rPr>
          <w:rFonts w:ascii="Times New Roman" w:hAnsi="Times New Roman" w:cs="Times New Roman"/>
          <w:sz w:val="24"/>
          <w:szCs w:val="24"/>
        </w:rPr>
        <w:t xml:space="preserve"> augļu, ogu un dārzeņu cenas</w:t>
      </w:r>
      <w:r w:rsidR="00D27B3A">
        <w:rPr>
          <w:rFonts w:ascii="Times New Roman" w:hAnsi="Times New Roman" w:cs="Times New Roman"/>
          <w:sz w:val="24"/>
          <w:szCs w:val="24"/>
        </w:rPr>
        <w:t xml:space="preserve"> un</w:t>
      </w:r>
      <w:r w:rsidRPr="007442A5">
        <w:rPr>
          <w:rFonts w:ascii="Times New Roman" w:hAnsi="Times New Roman" w:cs="Times New Roman"/>
          <w:sz w:val="24"/>
          <w:szCs w:val="24"/>
        </w:rPr>
        <w:t xml:space="preserve"> tādā veidā arī </w:t>
      </w:r>
      <w:r w:rsidR="00D27B3A">
        <w:rPr>
          <w:rFonts w:ascii="Times New Roman" w:hAnsi="Times New Roman" w:cs="Times New Roman"/>
          <w:sz w:val="24"/>
          <w:szCs w:val="24"/>
        </w:rPr>
        <w:t>veicinātu</w:t>
      </w:r>
      <w:r w:rsidR="00D27B3A" w:rsidRPr="007442A5">
        <w:rPr>
          <w:rFonts w:ascii="Times New Roman" w:hAnsi="Times New Roman" w:cs="Times New Roman"/>
          <w:sz w:val="24"/>
          <w:szCs w:val="24"/>
        </w:rPr>
        <w:t xml:space="preserve"> </w:t>
      </w:r>
      <w:r w:rsidRPr="007442A5">
        <w:rPr>
          <w:rFonts w:ascii="Times New Roman" w:hAnsi="Times New Roman" w:cs="Times New Roman"/>
          <w:sz w:val="24"/>
          <w:szCs w:val="24"/>
        </w:rPr>
        <w:t xml:space="preserve">augļu, ogu un dārzeņu </w:t>
      </w:r>
      <w:r w:rsidR="00D27B3A" w:rsidRPr="007442A5">
        <w:rPr>
          <w:rFonts w:ascii="Times New Roman" w:hAnsi="Times New Roman" w:cs="Times New Roman"/>
          <w:sz w:val="24"/>
          <w:szCs w:val="24"/>
        </w:rPr>
        <w:t xml:space="preserve">vidējo </w:t>
      </w:r>
      <w:r w:rsidRPr="007442A5">
        <w:rPr>
          <w:rFonts w:ascii="Times New Roman" w:hAnsi="Times New Roman" w:cs="Times New Roman"/>
          <w:sz w:val="24"/>
          <w:szCs w:val="24"/>
        </w:rPr>
        <w:t xml:space="preserve">patēriņu. </w:t>
      </w:r>
    </w:p>
    <w:p w14:paraId="3E275A3E" w14:textId="6F2C8F36" w:rsidR="00DE0F41" w:rsidRPr="002B581E" w:rsidRDefault="00D27B3A" w:rsidP="00DE7B44">
      <w:pPr>
        <w:pStyle w:val="FootnoteText"/>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Ievērojot </w:t>
      </w:r>
      <w:r w:rsidR="00DE0F41" w:rsidRPr="002839BE">
        <w:rPr>
          <w:rFonts w:ascii="Times New Roman" w:hAnsi="Times New Roman" w:cs="Times New Roman"/>
          <w:sz w:val="24"/>
          <w:szCs w:val="24"/>
        </w:rPr>
        <w:t>Ministru kabineta 2017.</w:t>
      </w:r>
      <w:r>
        <w:rPr>
          <w:rFonts w:ascii="Times New Roman" w:hAnsi="Times New Roman" w:cs="Times New Roman"/>
          <w:sz w:val="24"/>
          <w:szCs w:val="24"/>
        </w:rPr>
        <w:t xml:space="preserve"> </w:t>
      </w:r>
      <w:r w:rsidR="00DE0F41" w:rsidRPr="002839BE">
        <w:rPr>
          <w:rFonts w:ascii="Times New Roman" w:hAnsi="Times New Roman" w:cs="Times New Roman"/>
          <w:sz w:val="24"/>
          <w:szCs w:val="24"/>
        </w:rPr>
        <w:t>gada 8.</w:t>
      </w:r>
      <w:r>
        <w:rPr>
          <w:rFonts w:ascii="Times New Roman" w:hAnsi="Times New Roman" w:cs="Times New Roman"/>
          <w:sz w:val="24"/>
          <w:szCs w:val="24"/>
        </w:rPr>
        <w:t xml:space="preserve"> </w:t>
      </w:r>
      <w:r w:rsidR="00DE0F41" w:rsidRPr="002839BE">
        <w:rPr>
          <w:rFonts w:ascii="Times New Roman" w:hAnsi="Times New Roman" w:cs="Times New Roman"/>
          <w:sz w:val="24"/>
          <w:szCs w:val="24"/>
        </w:rPr>
        <w:t>septembra sēdes protokollēmuma Nr.</w:t>
      </w:r>
      <w:r>
        <w:rPr>
          <w:rFonts w:ascii="Times New Roman" w:hAnsi="Times New Roman" w:cs="Times New Roman"/>
          <w:sz w:val="24"/>
          <w:szCs w:val="24"/>
        </w:rPr>
        <w:t xml:space="preserve"> </w:t>
      </w:r>
      <w:r w:rsidR="00DE0F41" w:rsidRPr="002839BE">
        <w:rPr>
          <w:rFonts w:ascii="Times New Roman" w:hAnsi="Times New Roman" w:cs="Times New Roman"/>
          <w:sz w:val="24"/>
          <w:szCs w:val="24"/>
        </w:rPr>
        <w:t xml:space="preserve">44 1.§ </w:t>
      </w:r>
      <w:r>
        <w:rPr>
          <w:rFonts w:ascii="Times New Roman" w:hAnsi="Times New Roman" w:cs="Times New Roman"/>
          <w:sz w:val="24"/>
          <w:szCs w:val="24"/>
        </w:rPr>
        <w:t>“</w:t>
      </w:r>
      <w:r w:rsidR="00DE4E95" w:rsidRPr="00DE4E95">
        <w:rPr>
          <w:rFonts w:ascii="Times New Roman" w:hAnsi="Times New Roman" w:cs="Times New Roman"/>
          <w:sz w:val="24"/>
          <w:szCs w:val="24"/>
          <w:shd w:val="clear" w:color="auto" w:fill="FFFFFF"/>
        </w:rPr>
        <w:t>Informatīvais ziņojums "Par fiskālās telpas pasākumiem un izdevumiem prioritārajiem pasākumiem valsts budžetam 2018.</w:t>
      </w:r>
      <w:r>
        <w:rPr>
          <w:rFonts w:ascii="Times New Roman" w:hAnsi="Times New Roman" w:cs="Times New Roman"/>
          <w:sz w:val="24"/>
          <w:szCs w:val="24"/>
          <w:shd w:val="clear" w:color="auto" w:fill="FFFFFF"/>
        </w:rPr>
        <w:t xml:space="preserve"> </w:t>
      </w:r>
      <w:r w:rsidR="00DE4E95" w:rsidRPr="00DE4E95">
        <w:rPr>
          <w:rFonts w:ascii="Times New Roman" w:hAnsi="Times New Roman" w:cs="Times New Roman"/>
          <w:sz w:val="24"/>
          <w:szCs w:val="24"/>
          <w:shd w:val="clear" w:color="auto" w:fill="FFFFFF"/>
        </w:rPr>
        <w:t>gadam un ietvaram 2018.–2020.</w:t>
      </w:r>
      <w:r>
        <w:rPr>
          <w:rFonts w:ascii="Times New Roman" w:hAnsi="Times New Roman" w:cs="Times New Roman"/>
          <w:sz w:val="24"/>
          <w:szCs w:val="24"/>
          <w:shd w:val="clear" w:color="auto" w:fill="FFFFFF"/>
        </w:rPr>
        <w:t xml:space="preserve"> </w:t>
      </w:r>
      <w:r w:rsidR="00DE4E95" w:rsidRPr="00DE4E95">
        <w:rPr>
          <w:rFonts w:ascii="Times New Roman" w:hAnsi="Times New Roman" w:cs="Times New Roman"/>
          <w:sz w:val="24"/>
          <w:szCs w:val="24"/>
          <w:shd w:val="clear" w:color="auto" w:fill="FFFFFF"/>
        </w:rPr>
        <w:t>gadam"</w:t>
      </w:r>
      <w:r>
        <w:rPr>
          <w:rFonts w:ascii="Times New Roman" w:hAnsi="Times New Roman" w:cs="Times New Roman"/>
          <w:sz w:val="24"/>
          <w:szCs w:val="24"/>
          <w:shd w:val="clear" w:color="auto" w:fill="FFFFFF"/>
        </w:rPr>
        <w:t>”</w:t>
      </w:r>
      <w:r w:rsidR="00DE4E95" w:rsidRPr="00DE4E95">
        <w:rPr>
          <w:rFonts w:ascii="Open Sans" w:hAnsi="Open Sans" w:cs="Open Sans"/>
          <w:sz w:val="19"/>
          <w:szCs w:val="19"/>
          <w:shd w:val="clear" w:color="auto" w:fill="FFFFFF"/>
        </w:rPr>
        <w:t xml:space="preserve"> </w:t>
      </w:r>
      <w:r w:rsidR="00DE0F41" w:rsidRPr="002839BE">
        <w:rPr>
          <w:rFonts w:ascii="Times New Roman" w:hAnsi="Times New Roman" w:cs="Times New Roman"/>
          <w:sz w:val="24"/>
          <w:szCs w:val="24"/>
        </w:rPr>
        <w:t>5.</w:t>
      </w:r>
      <w:r>
        <w:rPr>
          <w:rFonts w:ascii="Times New Roman" w:hAnsi="Times New Roman" w:cs="Times New Roman"/>
          <w:sz w:val="24"/>
          <w:szCs w:val="24"/>
        </w:rPr>
        <w:t xml:space="preserve"> </w:t>
      </w:r>
      <w:r w:rsidR="00DE0F41" w:rsidRPr="002839BE">
        <w:rPr>
          <w:rFonts w:ascii="Times New Roman" w:hAnsi="Times New Roman" w:cs="Times New Roman"/>
          <w:sz w:val="24"/>
          <w:szCs w:val="24"/>
        </w:rPr>
        <w:t>punkt</w:t>
      </w:r>
      <w:r>
        <w:rPr>
          <w:rFonts w:ascii="Times New Roman" w:hAnsi="Times New Roman" w:cs="Times New Roman"/>
          <w:sz w:val="24"/>
          <w:szCs w:val="24"/>
        </w:rPr>
        <w:t>u</w:t>
      </w:r>
      <w:r w:rsidR="00E203D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2839BE" w:rsidRPr="002839BE">
        <w:rPr>
          <w:rFonts w:ascii="Times New Roman" w:hAnsi="Times New Roman" w:cs="Times New Roman"/>
          <w:sz w:val="24"/>
          <w:szCs w:val="24"/>
        </w:rPr>
        <w:t>pieņemts</w:t>
      </w:r>
      <w:r w:rsidR="002839BE">
        <w:rPr>
          <w:rFonts w:ascii="Times New Roman" w:hAnsi="Times New Roman" w:cs="Times New Roman"/>
          <w:sz w:val="24"/>
          <w:szCs w:val="24"/>
        </w:rPr>
        <w:t xml:space="preserve"> lēmums </w:t>
      </w:r>
      <w:r w:rsidR="00DE0F41" w:rsidRPr="007442A5">
        <w:rPr>
          <w:rFonts w:ascii="Times New Roman" w:hAnsi="Times New Roman" w:cs="Times New Roman"/>
          <w:sz w:val="24"/>
          <w:szCs w:val="24"/>
        </w:rPr>
        <w:t xml:space="preserve">atbalstīt samazinātās </w:t>
      </w:r>
      <w:r w:rsidRPr="007442A5">
        <w:rPr>
          <w:rFonts w:ascii="Times New Roman" w:hAnsi="Times New Roman" w:cs="Times New Roman"/>
          <w:sz w:val="24"/>
          <w:szCs w:val="24"/>
        </w:rPr>
        <w:t>5</w:t>
      </w:r>
      <w:r>
        <w:rPr>
          <w:rFonts w:ascii="Times New Roman" w:hAnsi="Times New Roman" w:cs="Times New Roman"/>
          <w:sz w:val="24"/>
          <w:szCs w:val="24"/>
        </w:rPr>
        <w:t> </w:t>
      </w:r>
      <w:r w:rsidRPr="007442A5">
        <w:rPr>
          <w:rFonts w:ascii="Times New Roman" w:hAnsi="Times New Roman" w:cs="Times New Roman"/>
          <w:sz w:val="24"/>
          <w:szCs w:val="24"/>
        </w:rPr>
        <w:t xml:space="preserve">% PVN </w:t>
      </w:r>
      <w:r w:rsidR="00DE0F41" w:rsidRPr="007442A5">
        <w:rPr>
          <w:rFonts w:ascii="Times New Roman" w:hAnsi="Times New Roman" w:cs="Times New Roman"/>
          <w:sz w:val="24"/>
          <w:szCs w:val="24"/>
        </w:rPr>
        <w:t xml:space="preserve">likmes noteikšanu Latvijai raksturīgiem augļiem, ogām un </w:t>
      </w:r>
      <w:r w:rsidR="00DE0F41" w:rsidRPr="002B581E">
        <w:rPr>
          <w:rFonts w:ascii="Times New Roman" w:hAnsi="Times New Roman" w:cs="Times New Roman"/>
          <w:sz w:val="24"/>
          <w:szCs w:val="24"/>
        </w:rPr>
        <w:t>dārzeņiem</w:t>
      </w:r>
      <w:r w:rsidR="006143BC" w:rsidRPr="002B581E">
        <w:rPr>
          <w:rFonts w:ascii="Times New Roman" w:hAnsi="Times New Roman" w:cs="Times New Roman"/>
          <w:sz w:val="24"/>
          <w:szCs w:val="24"/>
        </w:rPr>
        <w:t xml:space="preserve">, </w:t>
      </w:r>
      <w:r w:rsidR="00877587">
        <w:rPr>
          <w:rFonts w:ascii="Times New Roman" w:hAnsi="Times New Roman" w:cs="Times New Roman"/>
          <w:sz w:val="24"/>
          <w:szCs w:val="24"/>
        </w:rPr>
        <w:t xml:space="preserve">un attiecīgi </w:t>
      </w:r>
      <w:r w:rsidR="002B581E" w:rsidRPr="002B581E">
        <w:rPr>
          <w:rFonts w:ascii="Times New Roman" w:hAnsi="Times New Roman" w:cs="Times New Roman"/>
          <w:sz w:val="24"/>
          <w:szCs w:val="24"/>
        </w:rPr>
        <w:t>2017.</w:t>
      </w:r>
      <w:r w:rsidR="00D72130">
        <w:rPr>
          <w:rFonts w:ascii="Times New Roman" w:hAnsi="Times New Roman" w:cs="Times New Roman"/>
          <w:sz w:val="24"/>
          <w:szCs w:val="24"/>
        </w:rPr>
        <w:t> </w:t>
      </w:r>
      <w:r w:rsidR="002B581E" w:rsidRPr="002B581E">
        <w:rPr>
          <w:rFonts w:ascii="Times New Roman" w:hAnsi="Times New Roman" w:cs="Times New Roman"/>
          <w:sz w:val="24"/>
          <w:szCs w:val="24"/>
        </w:rPr>
        <w:t>gada 22.</w:t>
      </w:r>
      <w:r w:rsidR="00D72130">
        <w:rPr>
          <w:rFonts w:ascii="Times New Roman" w:hAnsi="Times New Roman" w:cs="Times New Roman"/>
          <w:sz w:val="24"/>
          <w:szCs w:val="24"/>
        </w:rPr>
        <w:t> </w:t>
      </w:r>
      <w:r w:rsidR="002B581E" w:rsidRPr="002B581E">
        <w:rPr>
          <w:rFonts w:ascii="Times New Roman" w:hAnsi="Times New Roman" w:cs="Times New Roman"/>
          <w:sz w:val="24"/>
          <w:szCs w:val="24"/>
        </w:rPr>
        <w:t xml:space="preserve">novembrī </w:t>
      </w:r>
      <w:r w:rsidR="006143BC" w:rsidRPr="002B581E">
        <w:rPr>
          <w:rFonts w:ascii="Times New Roman" w:hAnsi="Times New Roman" w:cs="Times New Roman"/>
          <w:sz w:val="24"/>
          <w:szCs w:val="24"/>
        </w:rPr>
        <w:t>pieņemti grozījum</w:t>
      </w:r>
      <w:r w:rsidR="002B581E" w:rsidRPr="002B581E">
        <w:rPr>
          <w:rFonts w:ascii="Times New Roman" w:hAnsi="Times New Roman" w:cs="Times New Roman"/>
          <w:sz w:val="24"/>
          <w:szCs w:val="24"/>
        </w:rPr>
        <w:t>i Pievienotās vērtības nodokļa likumā</w:t>
      </w:r>
      <w:r w:rsidR="00EE361D">
        <w:rPr>
          <w:rFonts w:ascii="Times New Roman" w:hAnsi="Times New Roman" w:cs="Times New Roman"/>
          <w:sz w:val="24"/>
          <w:szCs w:val="24"/>
        </w:rPr>
        <w:t>. Tie</w:t>
      </w:r>
      <w:r w:rsidR="00C13661">
        <w:rPr>
          <w:rFonts w:ascii="Times New Roman" w:hAnsi="Times New Roman" w:cs="Times New Roman"/>
          <w:sz w:val="24"/>
          <w:szCs w:val="24"/>
        </w:rPr>
        <w:t xml:space="preserve"> paredzēja</w:t>
      </w:r>
    </w:p>
    <w:p w14:paraId="06BDC3C9" w14:textId="1204EDB0" w:rsidR="00DE0F41" w:rsidRPr="002B581E" w:rsidRDefault="00DE0F41" w:rsidP="00DE7B44">
      <w:pPr>
        <w:pStyle w:val="FootnoteText"/>
        <w:numPr>
          <w:ilvl w:val="0"/>
          <w:numId w:val="5"/>
        </w:numPr>
        <w:ind w:left="1134" w:hanging="425"/>
        <w:jc w:val="both"/>
        <w:rPr>
          <w:rFonts w:ascii="Times New Roman" w:hAnsi="Times New Roman" w:cs="Times New Roman"/>
          <w:sz w:val="24"/>
          <w:szCs w:val="24"/>
        </w:rPr>
      </w:pPr>
      <w:r w:rsidRPr="002B581E">
        <w:rPr>
          <w:rFonts w:ascii="Times New Roman" w:hAnsi="Times New Roman" w:cs="Times New Roman"/>
          <w:sz w:val="24"/>
          <w:szCs w:val="24"/>
        </w:rPr>
        <w:t xml:space="preserve">ieviest samazināto </w:t>
      </w:r>
      <w:r w:rsidR="00EE361D" w:rsidRPr="002B581E">
        <w:rPr>
          <w:rFonts w:ascii="Times New Roman" w:hAnsi="Times New Roman" w:cs="Times New Roman"/>
          <w:sz w:val="24"/>
          <w:szCs w:val="24"/>
        </w:rPr>
        <w:t xml:space="preserve">PVN </w:t>
      </w:r>
      <w:r w:rsidRPr="002B581E">
        <w:rPr>
          <w:rFonts w:ascii="Times New Roman" w:hAnsi="Times New Roman" w:cs="Times New Roman"/>
          <w:sz w:val="24"/>
          <w:szCs w:val="24"/>
        </w:rPr>
        <w:t>likmi 5</w:t>
      </w:r>
      <w:r w:rsidR="00EE361D">
        <w:rPr>
          <w:rFonts w:ascii="Times New Roman" w:hAnsi="Times New Roman" w:cs="Times New Roman"/>
          <w:sz w:val="24"/>
          <w:szCs w:val="24"/>
        </w:rPr>
        <w:t> </w:t>
      </w:r>
      <w:r w:rsidRPr="002B581E">
        <w:rPr>
          <w:rFonts w:ascii="Times New Roman" w:hAnsi="Times New Roman" w:cs="Times New Roman"/>
          <w:sz w:val="24"/>
          <w:szCs w:val="24"/>
        </w:rPr>
        <w:t>% apmērā tād</w:t>
      </w:r>
      <w:r w:rsidR="00EE361D">
        <w:rPr>
          <w:rFonts w:ascii="Times New Roman" w:hAnsi="Times New Roman" w:cs="Times New Roman"/>
          <w:sz w:val="24"/>
          <w:szCs w:val="24"/>
        </w:rPr>
        <w:t>ai</w:t>
      </w:r>
      <w:r w:rsidRPr="002B581E">
        <w:rPr>
          <w:rFonts w:ascii="Times New Roman" w:hAnsi="Times New Roman" w:cs="Times New Roman"/>
          <w:sz w:val="24"/>
          <w:szCs w:val="24"/>
        </w:rPr>
        <w:t xml:space="preserve"> pārtikas produktu piegād</w:t>
      </w:r>
      <w:r w:rsidR="00EE361D">
        <w:rPr>
          <w:rFonts w:ascii="Times New Roman" w:hAnsi="Times New Roman" w:cs="Times New Roman"/>
          <w:sz w:val="24"/>
          <w:szCs w:val="24"/>
        </w:rPr>
        <w:t>ei</w:t>
      </w:r>
      <w:r w:rsidRPr="002B581E">
        <w:rPr>
          <w:rFonts w:ascii="Times New Roman" w:hAnsi="Times New Roman" w:cs="Times New Roman"/>
          <w:sz w:val="24"/>
          <w:szCs w:val="24"/>
        </w:rPr>
        <w:t>, kurā ir svaigi augļi ogas un dārzeņi, tostarp mazgāti, mizoti, lobīti, griezti un fasēti, bet nav termiski vai kā citādi apstrādāti, piemēram, saldēti, sālīti, kaltēti, ja tie ir minēti Pievienotās vērtības nodokļa likuma pielikumā;</w:t>
      </w:r>
    </w:p>
    <w:p w14:paraId="390C9F88" w14:textId="205C0D70" w:rsidR="00DE0F41" w:rsidRPr="002B581E" w:rsidRDefault="00DE0F41" w:rsidP="00DE7B44">
      <w:pPr>
        <w:pStyle w:val="FootnoteText"/>
        <w:numPr>
          <w:ilvl w:val="0"/>
          <w:numId w:val="5"/>
        </w:numPr>
        <w:ind w:left="1134" w:hanging="425"/>
        <w:jc w:val="both"/>
        <w:rPr>
          <w:rFonts w:ascii="Times New Roman" w:hAnsi="Times New Roman" w:cs="Times New Roman"/>
          <w:sz w:val="24"/>
          <w:szCs w:val="24"/>
        </w:rPr>
      </w:pPr>
      <w:r w:rsidRPr="002B581E">
        <w:rPr>
          <w:rFonts w:ascii="Times New Roman" w:hAnsi="Times New Roman" w:cs="Times New Roman"/>
          <w:sz w:val="24"/>
          <w:szCs w:val="24"/>
        </w:rPr>
        <w:t xml:space="preserve">samazināto </w:t>
      </w:r>
      <w:r w:rsidR="00EE361D" w:rsidRPr="002B581E">
        <w:rPr>
          <w:rFonts w:ascii="Times New Roman" w:hAnsi="Times New Roman" w:cs="Times New Roman"/>
          <w:sz w:val="24"/>
          <w:szCs w:val="24"/>
        </w:rPr>
        <w:t xml:space="preserve">PVN </w:t>
      </w:r>
      <w:r w:rsidRPr="002B581E">
        <w:rPr>
          <w:rFonts w:ascii="Times New Roman" w:hAnsi="Times New Roman" w:cs="Times New Roman"/>
          <w:sz w:val="24"/>
          <w:szCs w:val="24"/>
        </w:rPr>
        <w:t>likmi 5</w:t>
      </w:r>
      <w:r w:rsidR="00EE361D">
        <w:rPr>
          <w:rFonts w:ascii="Times New Roman" w:hAnsi="Times New Roman" w:cs="Times New Roman"/>
          <w:sz w:val="24"/>
          <w:szCs w:val="24"/>
        </w:rPr>
        <w:t xml:space="preserve"> </w:t>
      </w:r>
      <w:r w:rsidRPr="002B581E">
        <w:rPr>
          <w:rFonts w:ascii="Times New Roman" w:hAnsi="Times New Roman" w:cs="Times New Roman"/>
          <w:sz w:val="24"/>
          <w:szCs w:val="24"/>
        </w:rPr>
        <w:t xml:space="preserve">% apmērā svaigiem augļiem, ogām un dārzeņiem ieviest uz laiku no 2018. gada 1. janvāra līdz 2020. gada 31. decembrim, lai vērtētu izvirzīto mērķu sasniegšanu un samazinātās </w:t>
      </w:r>
      <w:r w:rsidR="00EE361D" w:rsidRPr="002B581E">
        <w:rPr>
          <w:rFonts w:ascii="Times New Roman" w:hAnsi="Times New Roman" w:cs="Times New Roman"/>
          <w:sz w:val="24"/>
          <w:szCs w:val="24"/>
        </w:rPr>
        <w:t xml:space="preserve">PVN </w:t>
      </w:r>
      <w:r w:rsidRPr="002B581E">
        <w:rPr>
          <w:rFonts w:ascii="Times New Roman" w:hAnsi="Times New Roman" w:cs="Times New Roman"/>
          <w:sz w:val="24"/>
          <w:szCs w:val="24"/>
        </w:rPr>
        <w:t>likmes 5</w:t>
      </w:r>
      <w:r w:rsidR="00EE361D">
        <w:rPr>
          <w:rFonts w:ascii="Times New Roman" w:hAnsi="Times New Roman" w:cs="Times New Roman"/>
          <w:sz w:val="24"/>
          <w:szCs w:val="24"/>
        </w:rPr>
        <w:t xml:space="preserve"> </w:t>
      </w:r>
      <w:r w:rsidRPr="002B581E">
        <w:rPr>
          <w:rFonts w:ascii="Times New Roman" w:hAnsi="Times New Roman" w:cs="Times New Roman"/>
          <w:sz w:val="24"/>
          <w:szCs w:val="24"/>
        </w:rPr>
        <w:t>% apmērā ieviešanu;</w:t>
      </w:r>
    </w:p>
    <w:p w14:paraId="3450F003" w14:textId="5C7C3383" w:rsidR="00DE0F41" w:rsidRPr="002B581E" w:rsidRDefault="00DE0F41" w:rsidP="00DE7B44">
      <w:pPr>
        <w:pStyle w:val="FootnoteText"/>
        <w:numPr>
          <w:ilvl w:val="0"/>
          <w:numId w:val="5"/>
        </w:numPr>
        <w:ind w:left="1134" w:hanging="425"/>
        <w:jc w:val="both"/>
        <w:rPr>
          <w:rFonts w:ascii="Times New Roman" w:hAnsi="Times New Roman" w:cs="Times New Roman"/>
          <w:sz w:val="24"/>
          <w:szCs w:val="24"/>
        </w:rPr>
      </w:pPr>
      <w:r w:rsidRPr="002B581E">
        <w:rPr>
          <w:rFonts w:ascii="Times New Roman" w:hAnsi="Times New Roman" w:cs="Times New Roman"/>
          <w:sz w:val="24"/>
          <w:szCs w:val="24"/>
        </w:rPr>
        <w:t xml:space="preserve">papildināt Pievienotās vērtības nodokļa likumu ar pielikumu, tajā ietverot to augļu, ogu un dārzeņu </w:t>
      </w:r>
      <w:r w:rsidRPr="002B581E">
        <w:rPr>
          <w:rFonts w:ascii="Times New Roman" w:eastAsia="Times New Roman" w:hAnsi="Times New Roman" w:cs="Times New Roman"/>
          <w:sz w:val="24"/>
          <w:szCs w:val="24"/>
        </w:rPr>
        <w:t>(kopumā 64 produktu) sarakstu</w:t>
      </w:r>
      <w:r w:rsidRPr="002B581E">
        <w:rPr>
          <w:rFonts w:ascii="Times New Roman" w:hAnsi="Times New Roman" w:cs="Times New Roman"/>
          <w:sz w:val="24"/>
          <w:szCs w:val="24"/>
        </w:rPr>
        <w:t xml:space="preserve">, kuriem piemēro samazināto </w:t>
      </w:r>
      <w:r w:rsidR="00EE361D" w:rsidRPr="002B581E">
        <w:rPr>
          <w:rFonts w:ascii="Times New Roman" w:hAnsi="Times New Roman" w:cs="Times New Roman"/>
          <w:sz w:val="24"/>
          <w:szCs w:val="24"/>
        </w:rPr>
        <w:t xml:space="preserve">PVN </w:t>
      </w:r>
      <w:r w:rsidRPr="002B581E">
        <w:rPr>
          <w:rFonts w:ascii="Times New Roman" w:hAnsi="Times New Roman" w:cs="Times New Roman"/>
          <w:sz w:val="24"/>
          <w:szCs w:val="24"/>
        </w:rPr>
        <w:t>likmi 5</w:t>
      </w:r>
      <w:r w:rsidR="00EE361D">
        <w:rPr>
          <w:rFonts w:ascii="Times New Roman" w:hAnsi="Times New Roman" w:cs="Times New Roman"/>
          <w:sz w:val="24"/>
          <w:szCs w:val="24"/>
        </w:rPr>
        <w:t> </w:t>
      </w:r>
      <w:r w:rsidRPr="002B581E">
        <w:rPr>
          <w:rFonts w:ascii="Times New Roman" w:hAnsi="Times New Roman" w:cs="Times New Roman"/>
          <w:sz w:val="24"/>
          <w:szCs w:val="24"/>
        </w:rPr>
        <w:t>% apmērā</w:t>
      </w:r>
      <w:r w:rsidR="00963C0A">
        <w:rPr>
          <w:rFonts w:ascii="Times New Roman" w:hAnsi="Times New Roman" w:cs="Times New Roman"/>
          <w:sz w:val="24"/>
          <w:szCs w:val="24"/>
        </w:rPr>
        <w:t>.</w:t>
      </w:r>
    </w:p>
    <w:p w14:paraId="20EC0AAD" w14:textId="38B2935C" w:rsidR="00983056" w:rsidRDefault="00DE0F41" w:rsidP="00DE7B44">
      <w:pPr>
        <w:spacing w:after="0" w:line="240" w:lineRule="auto"/>
        <w:ind w:firstLine="709"/>
        <w:jc w:val="both"/>
        <w:rPr>
          <w:rFonts w:ascii="Times New Roman" w:hAnsi="Times New Roman" w:cs="Times New Roman"/>
          <w:sz w:val="24"/>
          <w:szCs w:val="24"/>
        </w:rPr>
      </w:pPr>
      <w:r w:rsidRPr="00516581">
        <w:rPr>
          <w:rFonts w:ascii="Times New Roman" w:eastAsia="Times New Roman" w:hAnsi="Times New Roman" w:cs="Times New Roman"/>
          <w:sz w:val="24"/>
          <w:szCs w:val="24"/>
        </w:rPr>
        <w:t>Lai varētu lemt par</w:t>
      </w:r>
      <w:r w:rsidR="00D1258B">
        <w:rPr>
          <w:rFonts w:ascii="Times New Roman" w:eastAsia="Times New Roman" w:hAnsi="Times New Roman" w:cs="Times New Roman"/>
          <w:sz w:val="24"/>
          <w:szCs w:val="24"/>
        </w:rPr>
        <w:t xml:space="preserve"> PVN samazinātās</w:t>
      </w:r>
      <w:r w:rsidRPr="00516581">
        <w:rPr>
          <w:rFonts w:ascii="Times New Roman" w:eastAsia="Times New Roman" w:hAnsi="Times New Roman" w:cs="Times New Roman"/>
          <w:sz w:val="24"/>
          <w:szCs w:val="24"/>
        </w:rPr>
        <w:t xml:space="preserve"> likmes saglabāšanu pēc 2020. gada</w:t>
      </w:r>
      <w:r w:rsidR="00EF2BE4">
        <w:rPr>
          <w:rFonts w:ascii="Times New Roman" w:eastAsia="Times New Roman" w:hAnsi="Times New Roman" w:cs="Times New Roman"/>
          <w:sz w:val="24"/>
          <w:szCs w:val="24"/>
        </w:rPr>
        <w:t>,</w:t>
      </w:r>
      <w:r w:rsidRPr="00516581">
        <w:rPr>
          <w:rFonts w:ascii="Times New Roman" w:eastAsia="Times New Roman" w:hAnsi="Times New Roman" w:cs="Times New Roman"/>
          <w:sz w:val="24"/>
          <w:szCs w:val="24"/>
        </w:rPr>
        <w:t xml:space="preserve"> atbilstoši </w:t>
      </w:r>
      <w:r w:rsidR="005C21F8" w:rsidRPr="00516581">
        <w:rPr>
          <w:rFonts w:ascii="Times New Roman" w:eastAsia="Times New Roman" w:hAnsi="Times New Roman" w:cs="Times New Roman"/>
          <w:sz w:val="24"/>
          <w:szCs w:val="24"/>
        </w:rPr>
        <w:t>Ministru kabineta 2017.</w:t>
      </w:r>
      <w:r w:rsidR="007C1FEA">
        <w:rPr>
          <w:rFonts w:ascii="Times New Roman" w:eastAsia="Times New Roman" w:hAnsi="Times New Roman" w:cs="Times New Roman"/>
          <w:sz w:val="24"/>
          <w:szCs w:val="24"/>
        </w:rPr>
        <w:t> </w:t>
      </w:r>
      <w:r w:rsidR="005C21F8" w:rsidRPr="00516581">
        <w:rPr>
          <w:rFonts w:ascii="Times New Roman" w:eastAsia="Times New Roman" w:hAnsi="Times New Roman" w:cs="Times New Roman"/>
          <w:sz w:val="24"/>
          <w:szCs w:val="24"/>
        </w:rPr>
        <w:t>gada 3.</w:t>
      </w:r>
      <w:r w:rsidR="00555226">
        <w:rPr>
          <w:rFonts w:ascii="Times New Roman" w:eastAsia="Times New Roman" w:hAnsi="Times New Roman" w:cs="Times New Roman"/>
          <w:sz w:val="24"/>
          <w:szCs w:val="24"/>
        </w:rPr>
        <w:t> </w:t>
      </w:r>
      <w:r w:rsidR="005C21F8" w:rsidRPr="00516581">
        <w:rPr>
          <w:rFonts w:ascii="Times New Roman" w:eastAsia="Times New Roman" w:hAnsi="Times New Roman" w:cs="Times New Roman"/>
          <w:sz w:val="24"/>
          <w:szCs w:val="24"/>
        </w:rPr>
        <w:t>oktobra sēdes protokola Nr.</w:t>
      </w:r>
      <w:r w:rsidR="00EE361D">
        <w:rPr>
          <w:rFonts w:ascii="Times New Roman" w:eastAsia="Times New Roman" w:hAnsi="Times New Roman" w:cs="Times New Roman"/>
          <w:sz w:val="24"/>
          <w:szCs w:val="24"/>
        </w:rPr>
        <w:t> </w:t>
      </w:r>
      <w:r w:rsidR="005C21F8" w:rsidRPr="00516581">
        <w:rPr>
          <w:rFonts w:ascii="Times New Roman" w:eastAsia="Times New Roman" w:hAnsi="Times New Roman" w:cs="Times New Roman"/>
          <w:sz w:val="24"/>
          <w:szCs w:val="24"/>
        </w:rPr>
        <w:t>49 42.§ “Likumprojekts “Grozījumi Pievienotās vērtības nodokļa likumā””</w:t>
      </w:r>
      <w:r w:rsidR="00DC1D31">
        <w:rPr>
          <w:rStyle w:val="FootnoteReference"/>
          <w:rFonts w:ascii="Times New Roman" w:eastAsia="Times New Roman" w:hAnsi="Times New Roman" w:cs="Times New Roman"/>
          <w:sz w:val="24"/>
          <w:szCs w:val="24"/>
        </w:rPr>
        <w:footnoteReference w:id="4"/>
      </w:r>
      <w:r w:rsidR="00661436">
        <w:rPr>
          <w:rFonts w:ascii="Times New Roman" w:eastAsia="Times New Roman" w:hAnsi="Times New Roman" w:cs="Times New Roman"/>
          <w:sz w:val="24"/>
          <w:szCs w:val="24"/>
        </w:rPr>
        <w:t xml:space="preserve"> 5.</w:t>
      </w:r>
      <w:r w:rsidR="00CA18DA">
        <w:rPr>
          <w:rFonts w:ascii="Times New Roman" w:eastAsia="Times New Roman" w:hAnsi="Times New Roman" w:cs="Times New Roman"/>
          <w:sz w:val="24"/>
          <w:szCs w:val="24"/>
        </w:rPr>
        <w:t> </w:t>
      </w:r>
      <w:r w:rsidR="00661436">
        <w:rPr>
          <w:rFonts w:ascii="Times New Roman" w:eastAsia="Times New Roman" w:hAnsi="Times New Roman" w:cs="Times New Roman"/>
          <w:sz w:val="24"/>
          <w:szCs w:val="24"/>
        </w:rPr>
        <w:t>un</w:t>
      </w:r>
      <w:r w:rsidR="005C21F8" w:rsidRPr="00516581">
        <w:rPr>
          <w:rFonts w:ascii="Times New Roman" w:eastAsia="Times New Roman" w:hAnsi="Times New Roman" w:cs="Times New Roman"/>
          <w:sz w:val="24"/>
          <w:szCs w:val="24"/>
        </w:rPr>
        <w:t xml:space="preserve"> </w:t>
      </w:r>
      <w:r w:rsidRPr="00516581">
        <w:rPr>
          <w:rFonts w:ascii="Times New Roman" w:eastAsia="Times New Roman" w:hAnsi="Times New Roman" w:cs="Times New Roman"/>
          <w:sz w:val="24"/>
          <w:szCs w:val="24"/>
        </w:rPr>
        <w:t>6.</w:t>
      </w:r>
      <w:r w:rsidR="007C1FEA">
        <w:rPr>
          <w:rFonts w:ascii="Times New Roman" w:eastAsia="Times New Roman" w:hAnsi="Times New Roman" w:cs="Times New Roman"/>
          <w:sz w:val="24"/>
          <w:szCs w:val="24"/>
        </w:rPr>
        <w:t> </w:t>
      </w:r>
      <w:r w:rsidRPr="00516581">
        <w:rPr>
          <w:rFonts w:ascii="Times New Roman" w:eastAsia="Times New Roman" w:hAnsi="Times New Roman" w:cs="Times New Roman"/>
          <w:sz w:val="24"/>
          <w:szCs w:val="24"/>
        </w:rPr>
        <w:t>punktam</w:t>
      </w:r>
      <w:r w:rsidR="00661436">
        <w:rPr>
          <w:rFonts w:ascii="Times New Roman" w:eastAsia="Times New Roman" w:hAnsi="Times New Roman" w:cs="Times New Roman"/>
          <w:sz w:val="24"/>
          <w:szCs w:val="24"/>
        </w:rPr>
        <w:t xml:space="preserve"> dots uzdevums Zemkopības ministrijai</w:t>
      </w:r>
      <w:r w:rsidR="002002B7" w:rsidRPr="00516581">
        <w:rPr>
          <w:rFonts w:ascii="Times New Roman" w:eastAsia="Times New Roman" w:hAnsi="Times New Roman" w:cs="Times New Roman"/>
          <w:sz w:val="24"/>
          <w:szCs w:val="24"/>
        </w:rPr>
        <w:t xml:space="preserve"> </w:t>
      </w:r>
      <w:r w:rsidRPr="00077364">
        <w:rPr>
          <w:rFonts w:ascii="Times New Roman" w:eastAsia="Times New Roman" w:hAnsi="Times New Roman" w:cs="Times New Roman"/>
          <w:sz w:val="24"/>
          <w:szCs w:val="24"/>
        </w:rPr>
        <w:t>vērtē</w:t>
      </w:r>
      <w:r w:rsidR="00661436">
        <w:rPr>
          <w:rFonts w:ascii="Times New Roman" w:eastAsia="Times New Roman" w:hAnsi="Times New Roman" w:cs="Times New Roman"/>
          <w:sz w:val="24"/>
          <w:szCs w:val="24"/>
        </w:rPr>
        <w:t>t</w:t>
      </w:r>
      <w:r w:rsidR="00BA68DF">
        <w:rPr>
          <w:rFonts w:ascii="Times New Roman" w:eastAsia="Times New Roman" w:hAnsi="Times New Roman" w:cs="Times New Roman"/>
          <w:sz w:val="24"/>
          <w:szCs w:val="24"/>
        </w:rPr>
        <w:t xml:space="preserve"> </w:t>
      </w:r>
      <w:r w:rsidRPr="00077364">
        <w:rPr>
          <w:rFonts w:ascii="Times New Roman" w:eastAsia="Times New Roman" w:hAnsi="Times New Roman" w:cs="Times New Roman"/>
          <w:sz w:val="24"/>
          <w:szCs w:val="24"/>
        </w:rPr>
        <w:t xml:space="preserve">samazinātās </w:t>
      </w:r>
      <w:r w:rsidR="00EE361D" w:rsidRPr="00077364">
        <w:rPr>
          <w:rFonts w:ascii="Times New Roman" w:eastAsia="Times New Roman" w:hAnsi="Times New Roman" w:cs="Times New Roman"/>
          <w:sz w:val="24"/>
          <w:szCs w:val="24"/>
        </w:rPr>
        <w:t xml:space="preserve">PVN </w:t>
      </w:r>
      <w:r w:rsidRPr="00077364">
        <w:rPr>
          <w:rFonts w:ascii="Times New Roman" w:eastAsia="Times New Roman" w:hAnsi="Times New Roman" w:cs="Times New Roman"/>
          <w:sz w:val="24"/>
          <w:szCs w:val="24"/>
        </w:rPr>
        <w:t>likmes 5</w:t>
      </w:r>
      <w:r w:rsidR="007C1FEA">
        <w:rPr>
          <w:rFonts w:ascii="Times New Roman" w:eastAsia="Times New Roman" w:hAnsi="Times New Roman" w:cs="Times New Roman"/>
          <w:sz w:val="24"/>
          <w:szCs w:val="24"/>
        </w:rPr>
        <w:t> </w:t>
      </w:r>
      <w:r w:rsidRPr="00077364">
        <w:rPr>
          <w:rFonts w:ascii="Times New Roman" w:eastAsia="Times New Roman" w:hAnsi="Times New Roman" w:cs="Times New Roman"/>
          <w:sz w:val="24"/>
          <w:szCs w:val="24"/>
        </w:rPr>
        <w:t>% apmērā ieviešanas svaigiem augļiem, ogām un dārzeņiem efektivitāt</w:t>
      </w:r>
      <w:r w:rsidR="00661436">
        <w:rPr>
          <w:rFonts w:ascii="Times New Roman" w:eastAsia="Times New Roman" w:hAnsi="Times New Roman" w:cs="Times New Roman"/>
          <w:sz w:val="24"/>
          <w:szCs w:val="24"/>
        </w:rPr>
        <w:t>i par</w:t>
      </w:r>
      <w:r w:rsidRPr="00077364">
        <w:rPr>
          <w:rFonts w:ascii="Times New Roman" w:eastAsia="Times New Roman" w:hAnsi="Times New Roman" w:cs="Times New Roman"/>
          <w:sz w:val="24"/>
          <w:szCs w:val="24"/>
        </w:rPr>
        <w:t xml:space="preserve"> laikposm</w:t>
      </w:r>
      <w:r w:rsidR="00661436">
        <w:rPr>
          <w:rFonts w:ascii="Times New Roman" w:eastAsia="Times New Roman" w:hAnsi="Times New Roman" w:cs="Times New Roman"/>
          <w:sz w:val="24"/>
          <w:szCs w:val="24"/>
        </w:rPr>
        <w:t>u</w:t>
      </w:r>
      <w:r w:rsidRPr="00077364">
        <w:rPr>
          <w:rFonts w:ascii="Times New Roman" w:eastAsia="Times New Roman" w:hAnsi="Times New Roman" w:cs="Times New Roman"/>
          <w:sz w:val="24"/>
          <w:szCs w:val="24"/>
        </w:rPr>
        <w:t xml:space="preserve"> no 2018. gada 1. janvāra līdz 2020.</w:t>
      </w:r>
      <w:r w:rsidR="00EE361D">
        <w:rPr>
          <w:rFonts w:ascii="Times New Roman" w:eastAsia="Times New Roman" w:hAnsi="Times New Roman" w:cs="Times New Roman"/>
          <w:sz w:val="24"/>
          <w:szCs w:val="24"/>
        </w:rPr>
        <w:t> </w:t>
      </w:r>
      <w:r w:rsidRPr="00077364">
        <w:rPr>
          <w:rFonts w:ascii="Times New Roman" w:eastAsia="Times New Roman" w:hAnsi="Times New Roman" w:cs="Times New Roman"/>
          <w:sz w:val="24"/>
          <w:szCs w:val="24"/>
        </w:rPr>
        <w:t>gada 30.</w:t>
      </w:r>
      <w:r w:rsidR="007C1FEA">
        <w:rPr>
          <w:rFonts w:ascii="Times New Roman" w:eastAsia="Times New Roman" w:hAnsi="Times New Roman" w:cs="Times New Roman"/>
          <w:sz w:val="24"/>
          <w:szCs w:val="24"/>
        </w:rPr>
        <w:t> </w:t>
      </w:r>
      <w:r w:rsidRPr="00077364">
        <w:rPr>
          <w:rFonts w:ascii="Times New Roman" w:eastAsia="Times New Roman" w:hAnsi="Times New Roman" w:cs="Times New Roman"/>
          <w:sz w:val="24"/>
          <w:szCs w:val="24"/>
        </w:rPr>
        <w:t xml:space="preserve">jūnijam, analizējot </w:t>
      </w:r>
      <w:r w:rsidR="005E563B">
        <w:rPr>
          <w:rFonts w:ascii="Times New Roman" w:eastAsia="Times New Roman" w:hAnsi="Times New Roman" w:cs="Times New Roman"/>
          <w:sz w:val="24"/>
          <w:szCs w:val="24"/>
        </w:rPr>
        <w:t>noteiktus</w:t>
      </w:r>
      <w:r w:rsidRPr="00077364">
        <w:rPr>
          <w:rFonts w:ascii="Times New Roman" w:eastAsia="Times New Roman" w:hAnsi="Times New Roman" w:cs="Times New Roman"/>
          <w:sz w:val="24"/>
          <w:szCs w:val="24"/>
        </w:rPr>
        <w:t xml:space="preserve"> rezultatīvos rādītājus</w:t>
      </w:r>
      <w:r w:rsidR="005E563B">
        <w:rPr>
          <w:rFonts w:ascii="Times New Roman" w:eastAsia="Times New Roman" w:hAnsi="Times New Roman" w:cs="Times New Roman"/>
          <w:sz w:val="24"/>
          <w:szCs w:val="24"/>
        </w:rPr>
        <w:t xml:space="preserve">, kā arī </w:t>
      </w:r>
      <w:r w:rsidRPr="00516581">
        <w:rPr>
          <w:rFonts w:ascii="Times New Roman" w:hAnsi="Times New Roman" w:cs="Times New Roman"/>
          <w:sz w:val="24"/>
          <w:szCs w:val="24"/>
        </w:rPr>
        <w:t>augļkopības un dārzeņkopības nozaru raksturojošo</w:t>
      </w:r>
      <w:r w:rsidR="007C1FEA">
        <w:rPr>
          <w:rFonts w:ascii="Times New Roman" w:hAnsi="Times New Roman" w:cs="Times New Roman"/>
          <w:sz w:val="24"/>
          <w:szCs w:val="24"/>
        </w:rPr>
        <w:t>s</w:t>
      </w:r>
      <w:r w:rsidRPr="00516581">
        <w:rPr>
          <w:rFonts w:ascii="Times New Roman" w:hAnsi="Times New Roman" w:cs="Times New Roman"/>
          <w:sz w:val="24"/>
          <w:szCs w:val="24"/>
        </w:rPr>
        <w:t xml:space="preserve"> rādītāju</w:t>
      </w:r>
      <w:r w:rsidR="007C1FEA">
        <w:rPr>
          <w:rFonts w:ascii="Times New Roman" w:hAnsi="Times New Roman" w:cs="Times New Roman"/>
          <w:sz w:val="24"/>
          <w:szCs w:val="24"/>
        </w:rPr>
        <w:t>s</w:t>
      </w:r>
      <w:r w:rsidRPr="00516581">
        <w:rPr>
          <w:rFonts w:ascii="Times New Roman" w:hAnsi="Times New Roman" w:cs="Times New Roman"/>
          <w:sz w:val="24"/>
          <w:szCs w:val="24"/>
        </w:rPr>
        <w:t xml:space="preserve">, tostarp par patēriņa </w:t>
      </w:r>
      <w:r w:rsidR="007C1FEA">
        <w:rPr>
          <w:rFonts w:ascii="Times New Roman" w:hAnsi="Times New Roman" w:cs="Times New Roman"/>
          <w:sz w:val="24"/>
          <w:szCs w:val="24"/>
        </w:rPr>
        <w:t>pār</w:t>
      </w:r>
      <w:r w:rsidRPr="00516581">
        <w:rPr>
          <w:rFonts w:ascii="Times New Roman" w:hAnsi="Times New Roman" w:cs="Times New Roman"/>
          <w:sz w:val="24"/>
          <w:szCs w:val="24"/>
        </w:rPr>
        <w:t xml:space="preserve">maiņām vietējā tirgū, importa un </w:t>
      </w:r>
      <w:r w:rsidRPr="00516581">
        <w:rPr>
          <w:rFonts w:ascii="Times New Roman" w:hAnsi="Times New Roman" w:cs="Times New Roman"/>
          <w:sz w:val="24"/>
          <w:szCs w:val="24"/>
        </w:rPr>
        <w:lastRenderedPageBreak/>
        <w:t xml:space="preserve">eksporta </w:t>
      </w:r>
      <w:r w:rsidR="007C1FEA">
        <w:rPr>
          <w:rFonts w:ascii="Times New Roman" w:hAnsi="Times New Roman" w:cs="Times New Roman"/>
          <w:sz w:val="24"/>
          <w:szCs w:val="24"/>
        </w:rPr>
        <w:t>pār</w:t>
      </w:r>
      <w:r w:rsidRPr="00516581">
        <w:rPr>
          <w:rFonts w:ascii="Times New Roman" w:hAnsi="Times New Roman" w:cs="Times New Roman"/>
          <w:sz w:val="24"/>
          <w:szCs w:val="24"/>
        </w:rPr>
        <w:t xml:space="preserve">maiņu </w:t>
      </w:r>
      <w:r w:rsidR="007C1FEA">
        <w:rPr>
          <w:rFonts w:ascii="Times New Roman" w:hAnsi="Times New Roman" w:cs="Times New Roman"/>
          <w:sz w:val="24"/>
          <w:szCs w:val="24"/>
        </w:rPr>
        <w:t xml:space="preserve">un </w:t>
      </w:r>
      <w:r w:rsidRPr="00516581">
        <w:rPr>
          <w:rFonts w:ascii="Times New Roman" w:hAnsi="Times New Roman" w:cs="Times New Roman"/>
          <w:sz w:val="24"/>
          <w:szCs w:val="24"/>
        </w:rPr>
        <w:t xml:space="preserve">cenu </w:t>
      </w:r>
      <w:r w:rsidR="007C1FEA">
        <w:rPr>
          <w:rFonts w:ascii="Times New Roman" w:hAnsi="Times New Roman" w:cs="Times New Roman"/>
          <w:sz w:val="24"/>
          <w:szCs w:val="24"/>
        </w:rPr>
        <w:t>pār</w:t>
      </w:r>
      <w:r w:rsidRPr="00516581">
        <w:rPr>
          <w:rFonts w:ascii="Times New Roman" w:hAnsi="Times New Roman" w:cs="Times New Roman"/>
          <w:sz w:val="24"/>
          <w:szCs w:val="24"/>
        </w:rPr>
        <w:t>maiņu dinamiku</w:t>
      </w:r>
      <w:r w:rsidR="007C1FEA">
        <w:rPr>
          <w:rFonts w:ascii="Times New Roman" w:hAnsi="Times New Roman" w:cs="Times New Roman"/>
          <w:sz w:val="24"/>
          <w:szCs w:val="24"/>
        </w:rPr>
        <w:t>, kā arī</w:t>
      </w:r>
      <w:r w:rsidRPr="00516581">
        <w:rPr>
          <w:rFonts w:ascii="Times New Roman" w:hAnsi="Times New Roman" w:cs="Times New Roman"/>
          <w:sz w:val="24"/>
          <w:szCs w:val="24"/>
        </w:rPr>
        <w:t xml:space="preserve"> uzņēmumu finansiālo rādītāju </w:t>
      </w:r>
      <w:r w:rsidR="007C1FEA">
        <w:rPr>
          <w:rFonts w:ascii="Times New Roman" w:hAnsi="Times New Roman" w:cs="Times New Roman"/>
          <w:sz w:val="24"/>
          <w:szCs w:val="24"/>
        </w:rPr>
        <w:t>pār</w:t>
      </w:r>
      <w:r w:rsidRPr="00516581">
        <w:rPr>
          <w:rFonts w:ascii="Times New Roman" w:hAnsi="Times New Roman" w:cs="Times New Roman"/>
          <w:sz w:val="24"/>
          <w:szCs w:val="24"/>
        </w:rPr>
        <w:t>maiņām.</w:t>
      </w:r>
      <w:r w:rsidR="00EF2BE4">
        <w:rPr>
          <w:rFonts w:ascii="Times New Roman" w:hAnsi="Times New Roman" w:cs="Times New Roman"/>
          <w:sz w:val="24"/>
          <w:szCs w:val="24"/>
        </w:rPr>
        <w:t xml:space="preserve"> </w:t>
      </w:r>
      <w:r w:rsidR="00956DC0">
        <w:rPr>
          <w:rFonts w:ascii="Times New Roman" w:hAnsi="Times New Roman" w:cs="Times New Roman"/>
          <w:sz w:val="24"/>
          <w:szCs w:val="24"/>
        </w:rPr>
        <w:t>Attiecīgi Zemkopības ministrija izvērtēj</w:t>
      </w:r>
      <w:r w:rsidR="007C1FEA">
        <w:rPr>
          <w:rFonts w:ascii="Times New Roman" w:hAnsi="Times New Roman" w:cs="Times New Roman"/>
          <w:sz w:val="24"/>
          <w:szCs w:val="24"/>
        </w:rPr>
        <w:t>a</w:t>
      </w:r>
      <w:r w:rsidR="00956DC0">
        <w:rPr>
          <w:rFonts w:ascii="Times New Roman" w:hAnsi="Times New Roman" w:cs="Times New Roman"/>
          <w:sz w:val="24"/>
          <w:szCs w:val="24"/>
        </w:rPr>
        <w:t xml:space="preserve"> </w:t>
      </w:r>
      <w:r w:rsidR="004F213F">
        <w:rPr>
          <w:rFonts w:ascii="Times New Roman" w:hAnsi="Times New Roman" w:cs="Times New Roman"/>
          <w:sz w:val="24"/>
          <w:szCs w:val="24"/>
        </w:rPr>
        <w:t xml:space="preserve">samazinātās </w:t>
      </w:r>
      <w:r w:rsidR="007C1FEA">
        <w:rPr>
          <w:rFonts w:ascii="Times New Roman" w:hAnsi="Times New Roman" w:cs="Times New Roman"/>
          <w:sz w:val="24"/>
          <w:szCs w:val="24"/>
        </w:rPr>
        <w:t xml:space="preserve">PVN </w:t>
      </w:r>
      <w:r w:rsidR="004F213F">
        <w:rPr>
          <w:rFonts w:ascii="Times New Roman" w:hAnsi="Times New Roman" w:cs="Times New Roman"/>
          <w:sz w:val="24"/>
          <w:szCs w:val="24"/>
        </w:rPr>
        <w:t>likmes</w:t>
      </w:r>
      <w:r w:rsidR="00D51618">
        <w:rPr>
          <w:rFonts w:ascii="Times New Roman" w:hAnsi="Times New Roman" w:cs="Times New Roman"/>
          <w:sz w:val="24"/>
          <w:szCs w:val="24"/>
        </w:rPr>
        <w:t xml:space="preserve"> ieviešanas efektivitāt</w:t>
      </w:r>
      <w:r w:rsidR="00B16F38">
        <w:rPr>
          <w:rFonts w:ascii="Times New Roman" w:hAnsi="Times New Roman" w:cs="Times New Roman"/>
          <w:sz w:val="24"/>
          <w:szCs w:val="24"/>
        </w:rPr>
        <w:t>i</w:t>
      </w:r>
      <w:r w:rsidR="00B16F38">
        <w:rPr>
          <w:rStyle w:val="FootnoteReference"/>
          <w:rFonts w:ascii="Times New Roman" w:hAnsi="Times New Roman" w:cs="Times New Roman"/>
          <w:sz w:val="24"/>
          <w:szCs w:val="24"/>
        </w:rPr>
        <w:footnoteReference w:id="5"/>
      </w:r>
      <w:r w:rsidR="00B52D5B" w:rsidRPr="00B52D5B">
        <w:rPr>
          <w:rFonts w:ascii="Times New Roman" w:hAnsi="Times New Roman" w:cs="Times New Roman"/>
          <w:sz w:val="24"/>
          <w:szCs w:val="24"/>
        </w:rPr>
        <w:t>.</w:t>
      </w:r>
    </w:p>
    <w:p w14:paraId="2581270F" w14:textId="55F9909A" w:rsidR="00A27812" w:rsidRDefault="007C1FEA" w:rsidP="00DE7B4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Pamatojoties uz</w:t>
      </w:r>
      <w:r w:rsidRPr="008503D7">
        <w:rPr>
          <w:rFonts w:ascii="Times New Roman" w:hAnsi="Times New Roman" w:cs="Times New Roman"/>
          <w:sz w:val="24"/>
          <w:szCs w:val="24"/>
        </w:rPr>
        <w:t xml:space="preserve"> </w:t>
      </w:r>
      <w:r w:rsidR="00983056" w:rsidRPr="008503D7">
        <w:rPr>
          <w:rFonts w:ascii="Times New Roman" w:hAnsi="Times New Roman" w:cs="Times New Roman"/>
          <w:sz w:val="24"/>
          <w:szCs w:val="24"/>
        </w:rPr>
        <w:t>Ministru kabineta 2020.</w:t>
      </w:r>
      <w:r>
        <w:rPr>
          <w:rFonts w:ascii="Times New Roman" w:hAnsi="Times New Roman" w:cs="Times New Roman"/>
          <w:sz w:val="24"/>
          <w:szCs w:val="24"/>
        </w:rPr>
        <w:t xml:space="preserve"> </w:t>
      </w:r>
      <w:r w:rsidR="00983056" w:rsidRPr="008503D7">
        <w:rPr>
          <w:rFonts w:ascii="Times New Roman" w:hAnsi="Times New Roman" w:cs="Times New Roman"/>
          <w:sz w:val="24"/>
          <w:szCs w:val="24"/>
        </w:rPr>
        <w:t>gada 22.</w:t>
      </w:r>
      <w:r>
        <w:rPr>
          <w:rFonts w:ascii="Times New Roman" w:hAnsi="Times New Roman" w:cs="Times New Roman"/>
          <w:sz w:val="24"/>
          <w:szCs w:val="24"/>
        </w:rPr>
        <w:t xml:space="preserve"> </w:t>
      </w:r>
      <w:r w:rsidR="00983056" w:rsidRPr="008503D7">
        <w:rPr>
          <w:rFonts w:ascii="Times New Roman" w:hAnsi="Times New Roman" w:cs="Times New Roman"/>
          <w:sz w:val="24"/>
          <w:szCs w:val="24"/>
        </w:rPr>
        <w:t xml:space="preserve">septembra sēdes protokollēmuma </w:t>
      </w:r>
      <w:r w:rsidR="001559B2" w:rsidRPr="008503D7">
        <w:rPr>
          <w:rFonts w:ascii="Times New Roman" w:hAnsi="Times New Roman" w:cs="Times New Roman"/>
          <w:sz w:val="24"/>
          <w:szCs w:val="24"/>
        </w:rPr>
        <w:t>Nr.</w:t>
      </w:r>
      <w:r>
        <w:rPr>
          <w:rFonts w:ascii="Times New Roman" w:hAnsi="Times New Roman" w:cs="Times New Roman"/>
          <w:sz w:val="24"/>
          <w:szCs w:val="24"/>
        </w:rPr>
        <w:t> </w:t>
      </w:r>
      <w:r w:rsidR="001559B2" w:rsidRPr="008503D7">
        <w:rPr>
          <w:rFonts w:ascii="Times New Roman" w:hAnsi="Times New Roman" w:cs="Times New Roman"/>
          <w:sz w:val="24"/>
          <w:szCs w:val="24"/>
        </w:rPr>
        <w:t xml:space="preserve">55 38.§ </w:t>
      </w:r>
      <w:r w:rsidR="00983056" w:rsidRPr="008503D7">
        <w:rPr>
          <w:rFonts w:ascii="Times New Roman" w:hAnsi="Times New Roman" w:cs="Times New Roman"/>
          <w:sz w:val="24"/>
          <w:szCs w:val="24"/>
        </w:rPr>
        <w:t>“Informatīvais ziņojums “Par priekšlikumiem valsts budžeta ieņēmumiem un izdevumiem 2021.</w:t>
      </w:r>
      <w:r>
        <w:rPr>
          <w:rFonts w:ascii="Times New Roman" w:hAnsi="Times New Roman" w:cs="Times New Roman"/>
          <w:sz w:val="24"/>
          <w:szCs w:val="24"/>
        </w:rPr>
        <w:t> </w:t>
      </w:r>
      <w:r w:rsidR="00983056" w:rsidRPr="008503D7">
        <w:rPr>
          <w:rFonts w:ascii="Times New Roman" w:hAnsi="Times New Roman" w:cs="Times New Roman"/>
          <w:sz w:val="24"/>
          <w:szCs w:val="24"/>
        </w:rPr>
        <w:t>gadam un ietvaram 2021.</w:t>
      </w:r>
      <w:r>
        <w:rPr>
          <w:rFonts w:ascii="Times New Roman" w:hAnsi="Times New Roman" w:cs="Times New Roman"/>
          <w:sz w:val="24"/>
          <w:szCs w:val="24"/>
        </w:rPr>
        <w:t>–</w:t>
      </w:r>
      <w:r w:rsidR="00983056" w:rsidRPr="008503D7">
        <w:rPr>
          <w:rFonts w:ascii="Times New Roman" w:hAnsi="Times New Roman" w:cs="Times New Roman"/>
          <w:sz w:val="24"/>
          <w:szCs w:val="24"/>
        </w:rPr>
        <w:t>2023.</w:t>
      </w:r>
      <w:r>
        <w:rPr>
          <w:rFonts w:ascii="Times New Roman" w:hAnsi="Times New Roman" w:cs="Times New Roman"/>
          <w:sz w:val="24"/>
          <w:szCs w:val="24"/>
        </w:rPr>
        <w:t xml:space="preserve"> </w:t>
      </w:r>
      <w:r w:rsidR="00983056" w:rsidRPr="008503D7">
        <w:rPr>
          <w:rFonts w:ascii="Times New Roman" w:hAnsi="Times New Roman" w:cs="Times New Roman"/>
          <w:sz w:val="24"/>
          <w:szCs w:val="24"/>
        </w:rPr>
        <w:t>gadam””</w:t>
      </w:r>
      <w:r w:rsidR="0070104F">
        <w:rPr>
          <w:rStyle w:val="FootnoteReference"/>
          <w:rFonts w:ascii="Times New Roman" w:hAnsi="Times New Roman" w:cs="Times New Roman"/>
          <w:sz w:val="24"/>
          <w:szCs w:val="24"/>
        </w:rPr>
        <w:footnoteReference w:id="6"/>
      </w:r>
      <w:r w:rsidR="00983056" w:rsidRPr="008503D7">
        <w:rPr>
          <w:rFonts w:ascii="Times New Roman" w:hAnsi="Times New Roman" w:cs="Times New Roman"/>
          <w:sz w:val="24"/>
          <w:szCs w:val="24"/>
        </w:rPr>
        <w:t xml:space="preserve"> 27.</w:t>
      </w:r>
      <w:r>
        <w:rPr>
          <w:rFonts w:ascii="Times New Roman" w:hAnsi="Times New Roman" w:cs="Times New Roman"/>
          <w:sz w:val="24"/>
          <w:szCs w:val="24"/>
        </w:rPr>
        <w:t> </w:t>
      </w:r>
      <w:r w:rsidR="00983056" w:rsidRPr="008503D7">
        <w:rPr>
          <w:rFonts w:ascii="Times New Roman" w:hAnsi="Times New Roman" w:cs="Times New Roman"/>
          <w:sz w:val="24"/>
          <w:szCs w:val="24"/>
        </w:rPr>
        <w:t>punkt</w:t>
      </w:r>
      <w:r>
        <w:rPr>
          <w:rFonts w:ascii="Times New Roman" w:hAnsi="Times New Roman" w:cs="Times New Roman"/>
          <w:sz w:val="24"/>
          <w:szCs w:val="24"/>
        </w:rPr>
        <w:t>u,</w:t>
      </w:r>
      <w:r w:rsidR="00983056" w:rsidRPr="008503D7">
        <w:rPr>
          <w:rFonts w:ascii="Times New Roman" w:hAnsi="Times New Roman" w:cs="Times New Roman"/>
          <w:sz w:val="24"/>
          <w:szCs w:val="24"/>
        </w:rPr>
        <w:t xml:space="preserve"> atbalstīts Zemkopības ministrijas priekšlikums</w:t>
      </w:r>
      <w:r w:rsidR="00D151F2">
        <w:rPr>
          <w:rStyle w:val="FootnoteReference"/>
          <w:rFonts w:ascii="Times New Roman" w:hAnsi="Times New Roman" w:cs="Times New Roman"/>
          <w:sz w:val="24"/>
          <w:szCs w:val="24"/>
        </w:rPr>
        <w:footnoteReference w:id="7"/>
      </w:r>
      <w:r w:rsidR="00983056" w:rsidRPr="008503D7">
        <w:rPr>
          <w:rFonts w:ascii="Times New Roman" w:hAnsi="Times New Roman" w:cs="Times New Roman"/>
          <w:sz w:val="24"/>
          <w:szCs w:val="24"/>
        </w:rPr>
        <w:t xml:space="preserve"> un samazinātā </w:t>
      </w:r>
      <w:r w:rsidRPr="008503D7">
        <w:rPr>
          <w:rFonts w:ascii="Times New Roman" w:hAnsi="Times New Roman" w:cs="Times New Roman"/>
          <w:sz w:val="24"/>
          <w:szCs w:val="24"/>
        </w:rPr>
        <w:t xml:space="preserve">PVN </w:t>
      </w:r>
      <w:r w:rsidR="00983056" w:rsidRPr="008503D7">
        <w:rPr>
          <w:rFonts w:ascii="Times New Roman" w:hAnsi="Times New Roman" w:cs="Times New Roman"/>
          <w:sz w:val="24"/>
          <w:szCs w:val="24"/>
        </w:rPr>
        <w:t>likme 5</w:t>
      </w:r>
      <w:r w:rsidR="00044473">
        <w:rPr>
          <w:rFonts w:ascii="Times New Roman" w:hAnsi="Times New Roman" w:cs="Times New Roman"/>
          <w:sz w:val="24"/>
          <w:szCs w:val="24"/>
        </w:rPr>
        <w:t> </w:t>
      </w:r>
      <w:r w:rsidR="00983056" w:rsidRPr="008503D7">
        <w:rPr>
          <w:rFonts w:ascii="Times New Roman" w:hAnsi="Times New Roman" w:cs="Times New Roman"/>
          <w:sz w:val="24"/>
          <w:szCs w:val="24"/>
        </w:rPr>
        <w:t xml:space="preserve">% apmērā svaigiem augļiem, ogām un dārzeņiem saglabāta uz turpmākajiem </w:t>
      </w:r>
      <w:r>
        <w:rPr>
          <w:rFonts w:ascii="Times New Roman" w:hAnsi="Times New Roman" w:cs="Times New Roman"/>
          <w:sz w:val="24"/>
          <w:szCs w:val="24"/>
        </w:rPr>
        <w:t>trim</w:t>
      </w:r>
      <w:r w:rsidR="00983056" w:rsidRPr="008503D7">
        <w:rPr>
          <w:rFonts w:ascii="Times New Roman" w:hAnsi="Times New Roman" w:cs="Times New Roman"/>
          <w:sz w:val="24"/>
          <w:szCs w:val="24"/>
        </w:rPr>
        <w:t xml:space="preserve"> gadiem (no 2021.</w:t>
      </w:r>
      <w:r>
        <w:rPr>
          <w:rFonts w:ascii="Times New Roman" w:hAnsi="Times New Roman" w:cs="Times New Roman"/>
          <w:sz w:val="24"/>
          <w:szCs w:val="24"/>
        </w:rPr>
        <w:t xml:space="preserve"> </w:t>
      </w:r>
      <w:r w:rsidR="00983056" w:rsidRPr="008503D7">
        <w:rPr>
          <w:rFonts w:ascii="Times New Roman" w:hAnsi="Times New Roman" w:cs="Times New Roman"/>
          <w:sz w:val="24"/>
          <w:szCs w:val="24"/>
        </w:rPr>
        <w:t>gada 1.</w:t>
      </w:r>
      <w:r>
        <w:rPr>
          <w:rFonts w:ascii="Times New Roman" w:hAnsi="Times New Roman" w:cs="Times New Roman"/>
          <w:sz w:val="24"/>
          <w:szCs w:val="24"/>
        </w:rPr>
        <w:t xml:space="preserve"> </w:t>
      </w:r>
      <w:r w:rsidR="00983056" w:rsidRPr="008503D7">
        <w:rPr>
          <w:rFonts w:ascii="Times New Roman" w:hAnsi="Times New Roman" w:cs="Times New Roman"/>
          <w:sz w:val="24"/>
          <w:szCs w:val="24"/>
        </w:rPr>
        <w:t>janvāra līdz 2023.</w:t>
      </w:r>
      <w:r>
        <w:rPr>
          <w:rFonts w:ascii="Times New Roman" w:hAnsi="Times New Roman" w:cs="Times New Roman"/>
          <w:sz w:val="24"/>
          <w:szCs w:val="24"/>
        </w:rPr>
        <w:t> </w:t>
      </w:r>
      <w:r w:rsidR="00983056" w:rsidRPr="008503D7">
        <w:rPr>
          <w:rFonts w:ascii="Times New Roman" w:hAnsi="Times New Roman" w:cs="Times New Roman"/>
          <w:sz w:val="24"/>
          <w:szCs w:val="24"/>
        </w:rPr>
        <w:t>gada 31.</w:t>
      </w:r>
      <w:r>
        <w:rPr>
          <w:rFonts w:ascii="Times New Roman" w:hAnsi="Times New Roman" w:cs="Times New Roman"/>
          <w:sz w:val="24"/>
          <w:szCs w:val="24"/>
        </w:rPr>
        <w:t xml:space="preserve"> </w:t>
      </w:r>
      <w:r w:rsidR="00983056" w:rsidRPr="008503D7">
        <w:rPr>
          <w:rFonts w:ascii="Times New Roman" w:hAnsi="Times New Roman" w:cs="Times New Roman"/>
          <w:sz w:val="24"/>
          <w:szCs w:val="24"/>
        </w:rPr>
        <w:t>decembrim)</w:t>
      </w:r>
      <w:r w:rsidR="000C4BFE">
        <w:rPr>
          <w:rFonts w:ascii="Times New Roman" w:hAnsi="Times New Roman" w:cs="Times New Roman"/>
          <w:sz w:val="24"/>
          <w:szCs w:val="24"/>
        </w:rPr>
        <w:t xml:space="preserve">. </w:t>
      </w:r>
      <w:r w:rsidR="00A95BD0">
        <w:rPr>
          <w:rFonts w:ascii="Times New Roman" w:hAnsi="Times New Roman" w:cs="Times New Roman"/>
          <w:sz w:val="24"/>
          <w:szCs w:val="24"/>
        </w:rPr>
        <w:t xml:space="preserve">Zemkopības ministrijas priekšlikumā </w:t>
      </w:r>
      <w:r w:rsidR="00A95BD0" w:rsidRPr="00427E32">
        <w:rPr>
          <w:rFonts w:ascii="Times New Roman" w:hAnsi="Times New Roman" w:cs="Times New Roman"/>
          <w:sz w:val="24"/>
          <w:szCs w:val="24"/>
        </w:rPr>
        <w:t>norādīts, ka</w:t>
      </w:r>
      <w:r w:rsidR="004A56D4" w:rsidRPr="00427E32">
        <w:rPr>
          <w:rFonts w:ascii="Times New Roman" w:hAnsi="Times New Roman" w:cs="Times New Roman"/>
          <w:sz w:val="24"/>
          <w:szCs w:val="24"/>
        </w:rPr>
        <w:t xml:space="preserve"> </w:t>
      </w:r>
      <w:r w:rsidR="00A27812" w:rsidRPr="00427E32">
        <w:rPr>
          <w:rFonts w:ascii="Times New Roman" w:hAnsi="Times New Roman" w:cs="Times New Roman"/>
          <w:sz w:val="24"/>
          <w:szCs w:val="24"/>
        </w:rPr>
        <w:t xml:space="preserve">samazinātās </w:t>
      </w:r>
      <w:r w:rsidRPr="00427E32">
        <w:rPr>
          <w:rFonts w:ascii="Times New Roman" w:hAnsi="Times New Roman" w:cs="Times New Roman"/>
          <w:sz w:val="24"/>
          <w:szCs w:val="24"/>
        </w:rPr>
        <w:t xml:space="preserve">PVN </w:t>
      </w:r>
      <w:r w:rsidR="00A27812" w:rsidRPr="00427E32">
        <w:rPr>
          <w:rFonts w:ascii="Times New Roman" w:hAnsi="Times New Roman" w:cs="Times New Roman"/>
          <w:sz w:val="24"/>
          <w:szCs w:val="24"/>
        </w:rPr>
        <w:t>likmes 5</w:t>
      </w:r>
      <w:r>
        <w:rPr>
          <w:rFonts w:ascii="Times New Roman" w:hAnsi="Times New Roman" w:cs="Times New Roman"/>
          <w:sz w:val="24"/>
          <w:szCs w:val="24"/>
        </w:rPr>
        <w:t> </w:t>
      </w:r>
      <w:r w:rsidR="00A27812" w:rsidRPr="00427E32">
        <w:rPr>
          <w:rFonts w:ascii="Times New Roman" w:hAnsi="Times New Roman" w:cs="Times New Roman"/>
          <w:sz w:val="24"/>
          <w:szCs w:val="24"/>
        </w:rPr>
        <w:t>% apmērā svaigiem augļiem, ogām un dārzeņiem ieviešana ir bijusi efektīva. Ieviešanas mērķi ir sasniegti, jo ēnu ekonomika nozarē ir samazinājusies par 20</w:t>
      </w:r>
      <w:r>
        <w:rPr>
          <w:rFonts w:ascii="Times New Roman" w:hAnsi="Times New Roman" w:cs="Times New Roman"/>
          <w:sz w:val="24"/>
          <w:szCs w:val="24"/>
        </w:rPr>
        <w:t xml:space="preserve"> </w:t>
      </w:r>
      <w:r w:rsidR="00A27812" w:rsidRPr="00427E32">
        <w:rPr>
          <w:rFonts w:ascii="Times New Roman" w:hAnsi="Times New Roman" w:cs="Times New Roman"/>
          <w:sz w:val="24"/>
          <w:szCs w:val="24"/>
        </w:rPr>
        <w:t>%</w:t>
      </w:r>
      <w:r>
        <w:rPr>
          <w:rFonts w:ascii="Times New Roman" w:hAnsi="Times New Roman" w:cs="Times New Roman"/>
          <w:sz w:val="24"/>
          <w:szCs w:val="24"/>
        </w:rPr>
        <w:t xml:space="preserve"> un</w:t>
      </w:r>
      <w:r w:rsidR="00A27812" w:rsidRPr="00427E32">
        <w:rPr>
          <w:rFonts w:ascii="Times New Roman" w:hAnsi="Times New Roman" w:cs="Times New Roman"/>
          <w:sz w:val="24"/>
          <w:szCs w:val="24"/>
        </w:rPr>
        <w:t xml:space="preserve"> tādā veidā </w:t>
      </w:r>
      <w:r w:rsidRPr="00427E32">
        <w:rPr>
          <w:rFonts w:ascii="Times New Roman" w:hAnsi="Times New Roman" w:cs="Times New Roman"/>
          <w:sz w:val="24"/>
          <w:szCs w:val="24"/>
        </w:rPr>
        <w:t>komersanti</w:t>
      </w:r>
      <w:r>
        <w:rPr>
          <w:rFonts w:ascii="Times New Roman" w:hAnsi="Times New Roman" w:cs="Times New Roman"/>
          <w:sz w:val="24"/>
          <w:szCs w:val="24"/>
        </w:rPr>
        <w:t>, kuri darbojas</w:t>
      </w:r>
      <w:r w:rsidRPr="00427E32">
        <w:rPr>
          <w:rFonts w:ascii="Times New Roman" w:hAnsi="Times New Roman" w:cs="Times New Roman"/>
          <w:sz w:val="24"/>
          <w:szCs w:val="24"/>
        </w:rPr>
        <w:t xml:space="preserve"> </w:t>
      </w:r>
      <w:r w:rsidR="00A27812" w:rsidRPr="00427E32">
        <w:rPr>
          <w:rFonts w:ascii="Times New Roman" w:hAnsi="Times New Roman" w:cs="Times New Roman"/>
          <w:sz w:val="24"/>
          <w:szCs w:val="24"/>
        </w:rPr>
        <w:t>legālajā tirgū</w:t>
      </w:r>
      <w:r>
        <w:rPr>
          <w:rFonts w:ascii="Times New Roman" w:hAnsi="Times New Roman" w:cs="Times New Roman"/>
          <w:sz w:val="24"/>
          <w:szCs w:val="24"/>
        </w:rPr>
        <w:t>,</w:t>
      </w:r>
      <w:r w:rsidR="00A27812" w:rsidRPr="00427E32">
        <w:rPr>
          <w:rFonts w:ascii="Times New Roman" w:hAnsi="Times New Roman" w:cs="Times New Roman"/>
          <w:sz w:val="24"/>
          <w:szCs w:val="24"/>
        </w:rPr>
        <w:t xml:space="preserve"> ir kļuvuši konkurētspējīgāki, </w:t>
      </w:r>
      <w:r>
        <w:rPr>
          <w:rFonts w:ascii="Times New Roman" w:hAnsi="Times New Roman" w:cs="Times New Roman"/>
          <w:sz w:val="24"/>
          <w:szCs w:val="24"/>
        </w:rPr>
        <w:t xml:space="preserve">kā arī </w:t>
      </w:r>
      <w:r w:rsidR="00A27812" w:rsidRPr="00427E32">
        <w:rPr>
          <w:rFonts w:ascii="Times New Roman" w:hAnsi="Times New Roman" w:cs="Times New Roman"/>
          <w:sz w:val="24"/>
          <w:szCs w:val="24"/>
        </w:rPr>
        <w:t>augļu, ogu un dārzeņu cen</w:t>
      </w:r>
      <w:r w:rsidR="00427E32">
        <w:rPr>
          <w:rFonts w:ascii="Times New Roman" w:hAnsi="Times New Roman" w:cs="Times New Roman"/>
          <w:sz w:val="24"/>
          <w:szCs w:val="24"/>
        </w:rPr>
        <w:t>u indekss</w:t>
      </w:r>
      <w:r w:rsidR="00A27812" w:rsidRPr="00427E32">
        <w:rPr>
          <w:rFonts w:ascii="Times New Roman" w:hAnsi="Times New Roman" w:cs="Times New Roman"/>
          <w:sz w:val="24"/>
          <w:szCs w:val="24"/>
        </w:rPr>
        <w:t xml:space="preserve"> samazinājās par 11,7</w:t>
      </w:r>
      <w:r>
        <w:rPr>
          <w:rFonts w:ascii="Times New Roman" w:hAnsi="Times New Roman" w:cs="Times New Roman"/>
          <w:sz w:val="24"/>
          <w:szCs w:val="24"/>
        </w:rPr>
        <w:t> </w:t>
      </w:r>
      <w:r w:rsidR="00A27812" w:rsidRPr="00427E32">
        <w:rPr>
          <w:rFonts w:ascii="Times New Roman" w:hAnsi="Times New Roman" w:cs="Times New Roman"/>
          <w:sz w:val="24"/>
          <w:szCs w:val="24"/>
        </w:rPr>
        <w:t>% procentpunktiem, turklāt Latvijā t</w:t>
      </w:r>
      <w:r w:rsidR="00427E32">
        <w:rPr>
          <w:rFonts w:ascii="Times New Roman" w:hAnsi="Times New Roman" w:cs="Times New Roman"/>
          <w:sz w:val="24"/>
          <w:szCs w:val="24"/>
        </w:rPr>
        <w:t>a</w:t>
      </w:r>
      <w:r w:rsidR="00A27812" w:rsidRPr="00427E32">
        <w:rPr>
          <w:rFonts w:ascii="Times New Roman" w:hAnsi="Times New Roman" w:cs="Times New Roman"/>
          <w:sz w:val="24"/>
          <w:szCs w:val="24"/>
        </w:rPr>
        <w:t>s visā apsekošanas periodā ir zemāk</w:t>
      </w:r>
      <w:r>
        <w:rPr>
          <w:rFonts w:ascii="Times New Roman" w:hAnsi="Times New Roman" w:cs="Times New Roman"/>
          <w:sz w:val="24"/>
          <w:szCs w:val="24"/>
        </w:rPr>
        <w:t>ai</w:t>
      </w:r>
      <w:r w:rsidR="00A27812" w:rsidRPr="00427E32">
        <w:rPr>
          <w:rFonts w:ascii="Times New Roman" w:hAnsi="Times New Roman" w:cs="Times New Roman"/>
          <w:sz w:val="24"/>
          <w:szCs w:val="24"/>
        </w:rPr>
        <w:t xml:space="preserve">s starp Baltijas valstīm. </w:t>
      </w:r>
      <w:r>
        <w:rPr>
          <w:rFonts w:ascii="Times New Roman" w:hAnsi="Times New Roman" w:cs="Times New Roman"/>
          <w:sz w:val="24"/>
          <w:szCs w:val="24"/>
        </w:rPr>
        <w:t>P</w:t>
      </w:r>
      <w:r w:rsidRPr="00182EFA">
        <w:rPr>
          <w:rFonts w:ascii="Times New Roman" w:hAnsi="Times New Roman" w:cs="Times New Roman"/>
          <w:sz w:val="24"/>
          <w:szCs w:val="24"/>
        </w:rPr>
        <w:t>ar 9</w:t>
      </w:r>
      <w:r>
        <w:rPr>
          <w:rFonts w:ascii="Times New Roman" w:hAnsi="Times New Roman" w:cs="Times New Roman"/>
          <w:sz w:val="24"/>
          <w:szCs w:val="24"/>
        </w:rPr>
        <w:t> </w:t>
      </w:r>
      <w:r w:rsidRPr="00182EFA">
        <w:rPr>
          <w:rFonts w:ascii="Times New Roman" w:hAnsi="Times New Roman" w:cs="Times New Roman"/>
          <w:sz w:val="24"/>
          <w:szCs w:val="24"/>
        </w:rPr>
        <w:t>%</w:t>
      </w:r>
      <w:r>
        <w:rPr>
          <w:rFonts w:ascii="Times New Roman" w:hAnsi="Times New Roman" w:cs="Times New Roman"/>
          <w:sz w:val="24"/>
          <w:szCs w:val="24"/>
        </w:rPr>
        <w:t xml:space="preserve"> ir palielinājies gan r</w:t>
      </w:r>
      <w:r w:rsidR="00A27812" w:rsidRPr="00182EFA">
        <w:rPr>
          <w:rFonts w:ascii="Times New Roman" w:hAnsi="Times New Roman" w:cs="Times New Roman"/>
          <w:sz w:val="24"/>
          <w:szCs w:val="24"/>
        </w:rPr>
        <w:t xml:space="preserve">eģistrēto PVN maksātāju skaits augļkopības un dārzeņkopības nozarē, </w:t>
      </w:r>
      <w:r>
        <w:rPr>
          <w:rFonts w:ascii="Times New Roman" w:hAnsi="Times New Roman" w:cs="Times New Roman"/>
          <w:sz w:val="24"/>
          <w:szCs w:val="24"/>
        </w:rPr>
        <w:t xml:space="preserve">gan </w:t>
      </w:r>
      <w:r w:rsidR="00A27812" w:rsidRPr="00182EFA">
        <w:rPr>
          <w:rFonts w:ascii="Times New Roman" w:hAnsi="Times New Roman" w:cs="Times New Roman"/>
          <w:sz w:val="24"/>
          <w:szCs w:val="24"/>
        </w:rPr>
        <w:t>augļu, ogu un dārzeņu audzētāju apgrozījums, savukārt augļkopības un dārzeņkopības preču apgrozījums kopumā valstī palielinājies par 16%, produkcijas patēriņš 2018.</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gadā </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par 10% un 2019.</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gadā </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par 9</w:t>
      </w:r>
      <w:r>
        <w:rPr>
          <w:rFonts w:ascii="Times New Roman" w:hAnsi="Times New Roman" w:cs="Times New Roman"/>
          <w:sz w:val="24"/>
          <w:szCs w:val="24"/>
        </w:rPr>
        <w:t> </w:t>
      </w:r>
      <w:r w:rsidR="00A27812" w:rsidRPr="00182EFA">
        <w:rPr>
          <w:rFonts w:ascii="Times New Roman" w:hAnsi="Times New Roman" w:cs="Times New Roman"/>
          <w:sz w:val="24"/>
          <w:szCs w:val="24"/>
        </w:rPr>
        <w:t>%, vidējais atalgojums nozarē pieaudzis 2018.</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gadā par 11</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un 2019.</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gadā </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par 9</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 </w:t>
      </w:r>
      <w:r>
        <w:rPr>
          <w:rFonts w:ascii="Times New Roman" w:hAnsi="Times New Roman" w:cs="Times New Roman"/>
          <w:sz w:val="24"/>
          <w:szCs w:val="24"/>
        </w:rPr>
        <w:t>S</w:t>
      </w:r>
      <w:r w:rsidRPr="00182EFA">
        <w:rPr>
          <w:rFonts w:ascii="Times New Roman" w:hAnsi="Times New Roman" w:cs="Times New Roman"/>
          <w:sz w:val="24"/>
          <w:szCs w:val="24"/>
        </w:rPr>
        <w:t xml:space="preserve">amazinātās </w:t>
      </w:r>
      <w:r w:rsidR="00A27812" w:rsidRPr="00182EFA">
        <w:rPr>
          <w:rFonts w:ascii="Times New Roman" w:hAnsi="Times New Roman" w:cs="Times New Roman"/>
          <w:sz w:val="24"/>
          <w:szCs w:val="24"/>
        </w:rPr>
        <w:t>PVN likmes ieviešana ir devusi pozitīvu efektu uz augļkopības un dārzeņkopības nozari kopumā. Augļkopības un dārzeņkopības platības ir p</w:t>
      </w:r>
      <w:r>
        <w:rPr>
          <w:rFonts w:ascii="Times New Roman" w:hAnsi="Times New Roman" w:cs="Times New Roman"/>
          <w:sz w:val="24"/>
          <w:szCs w:val="24"/>
        </w:rPr>
        <w:t>alielinājušās</w:t>
      </w:r>
      <w:r w:rsidR="00A27812" w:rsidRPr="00182EFA">
        <w:rPr>
          <w:rFonts w:ascii="Times New Roman" w:hAnsi="Times New Roman" w:cs="Times New Roman"/>
          <w:sz w:val="24"/>
          <w:szCs w:val="24"/>
        </w:rPr>
        <w:t xml:space="preserve"> par 8,5</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w:t>
      </w:r>
      <w:r>
        <w:rPr>
          <w:rFonts w:ascii="Times New Roman" w:hAnsi="Times New Roman" w:cs="Times New Roman"/>
          <w:sz w:val="24"/>
          <w:szCs w:val="24"/>
        </w:rPr>
        <w:t xml:space="preserve"> bet</w:t>
      </w:r>
      <w:r w:rsidR="00A27812" w:rsidRPr="00182EFA">
        <w:rPr>
          <w:rFonts w:ascii="Times New Roman" w:hAnsi="Times New Roman" w:cs="Times New Roman"/>
          <w:sz w:val="24"/>
          <w:szCs w:val="24"/>
        </w:rPr>
        <w:t xml:space="preserve"> Latvijā saražotās produkcijas vērtība </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par 45</w:t>
      </w:r>
      <w:r>
        <w:rPr>
          <w:rFonts w:ascii="Times New Roman" w:hAnsi="Times New Roman" w:cs="Times New Roman"/>
          <w:sz w:val="24"/>
          <w:szCs w:val="24"/>
        </w:rPr>
        <w:t> </w:t>
      </w:r>
      <w:r w:rsidR="00A27812" w:rsidRPr="00182EFA">
        <w:rPr>
          <w:rFonts w:ascii="Times New Roman" w:hAnsi="Times New Roman" w:cs="Times New Roman"/>
          <w:sz w:val="24"/>
          <w:szCs w:val="24"/>
        </w:rPr>
        <w:t>%</w:t>
      </w:r>
      <w:r>
        <w:rPr>
          <w:rFonts w:ascii="Times New Roman" w:hAnsi="Times New Roman" w:cs="Times New Roman"/>
          <w:sz w:val="24"/>
          <w:szCs w:val="24"/>
        </w:rPr>
        <w:t>.</w:t>
      </w:r>
      <w:r w:rsidR="00A27812" w:rsidRPr="00182EFA">
        <w:rPr>
          <w:rFonts w:ascii="Times New Roman" w:hAnsi="Times New Roman" w:cs="Times New Roman"/>
          <w:sz w:val="24"/>
          <w:szCs w:val="24"/>
        </w:rPr>
        <w:t xml:space="preserve"> </w:t>
      </w:r>
      <w:r>
        <w:rPr>
          <w:rFonts w:ascii="Times New Roman" w:hAnsi="Times New Roman" w:cs="Times New Roman"/>
          <w:sz w:val="24"/>
          <w:szCs w:val="24"/>
        </w:rPr>
        <w:t>U</w:t>
      </w:r>
      <w:r w:rsidRPr="00182EFA">
        <w:rPr>
          <w:rFonts w:ascii="Times New Roman" w:hAnsi="Times New Roman" w:cs="Times New Roman"/>
          <w:sz w:val="24"/>
          <w:szCs w:val="24"/>
        </w:rPr>
        <w:t>zlabojušies</w:t>
      </w:r>
      <w:r>
        <w:rPr>
          <w:rFonts w:ascii="Times New Roman" w:hAnsi="Times New Roman" w:cs="Times New Roman"/>
          <w:sz w:val="24"/>
          <w:szCs w:val="24"/>
        </w:rPr>
        <w:t xml:space="preserve"> arī </w:t>
      </w:r>
      <w:r w:rsidR="00A27812" w:rsidRPr="00182EFA">
        <w:rPr>
          <w:rFonts w:ascii="Times New Roman" w:hAnsi="Times New Roman" w:cs="Times New Roman"/>
          <w:sz w:val="24"/>
          <w:szCs w:val="24"/>
        </w:rPr>
        <w:t xml:space="preserve">ārējās tirdzniecības rādītāji, </w:t>
      </w:r>
      <w:r>
        <w:rPr>
          <w:rFonts w:ascii="Times New Roman" w:hAnsi="Times New Roman" w:cs="Times New Roman"/>
          <w:sz w:val="24"/>
          <w:szCs w:val="24"/>
        </w:rPr>
        <w:t xml:space="preserve">un </w:t>
      </w:r>
      <w:r w:rsidR="00A27812" w:rsidRPr="00182EFA">
        <w:rPr>
          <w:rFonts w:ascii="Times New Roman" w:hAnsi="Times New Roman" w:cs="Times New Roman"/>
          <w:sz w:val="24"/>
          <w:szCs w:val="24"/>
        </w:rPr>
        <w:t xml:space="preserve">vidējais darba ņēmēju skaits augļkopības un dārzeņkopības nozarē ir pieaudzis </w:t>
      </w:r>
      <w:r w:rsidRPr="00182EFA">
        <w:rPr>
          <w:rFonts w:ascii="Times New Roman" w:hAnsi="Times New Roman" w:cs="Times New Roman"/>
          <w:sz w:val="24"/>
          <w:szCs w:val="24"/>
        </w:rPr>
        <w:t xml:space="preserve">gandrīz </w:t>
      </w:r>
      <w:r w:rsidR="00A27812" w:rsidRPr="00182EFA">
        <w:rPr>
          <w:rFonts w:ascii="Times New Roman" w:hAnsi="Times New Roman" w:cs="Times New Roman"/>
          <w:sz w:val="24"/>
          <w:szCs w:val="24"/>
        </w:rPr>
        <w:t>par 6</w:t>
      </w:r>
      <w:r>
        <w:rPr>
          <w:rFonts w:ascii="Times New Roman" w:hAnsi="Times New Roman" w:cs="Times New Roman"/>
          <w:sz w:val="24"/>
          <w:szCs w:val="24"/>
        </w:rPr>
        <w:t> </w:t>
      </w:r>
      <w:r w:rsidR="00A27812" w:rsidRPr="00182EFA">
        <w:rPr>
          <w:rFonts w:ascii="Times New Roman" w:hAnsi="Times New Roman" w:cs="Times New Roman"/>
          <w:sz w:val="24"/>
          <w:szCs w:val="24"/>
        </w:rPr>
        <w:t>%.</w:t>
      </w:r>
      <w:r w:rsidR="00182EFA" w:rsidRPr="00182EFA">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Valsts ieņēmuma dienesta dati liecina, ka PVN ieņēmumi </w:t>
      </w:r>
      <w:r>
        <w:rPr>
          <w:rFonts w:ascii="Times New Roman" w:hAnsi="Times New Roman" w:cs="Times New Roman"/>
          <w:sz w:val="24"/>
          <w:szCs w:val="24"/>
        </w:rPr>
        <w:t>a</w:t>
      </w:r>
      <w:r w:rsidR="00A27812" w:rsidRPr="00182EFA">
        <w:rPr>
          <w:rFonts w:ascii="Times New Roman" w:hAnsi="Times New Roman" w:cs="Times New Roman"/>
          <w:sz w:val="24"/>
          <w:szCs w:val="24"/>
        </w:rPr>
        <w:t>ugkopības</w:t>
      </w:r>
      <w:r w:rsidR="005B760C">
        <w:rPr>
          <w:rFonts w:ascii="Times New Roman" w:hAnsi="Times New Roman" w:cs="Times New Roman"/>
          <w:sz w:val="24"/>
          <w:szCs w:val="24"/>
        </w:rPr>
        <w:t xml:space="preserve"> un</w:t>
      </w:r>
      <w:r w:rsidR="00A27812" w:rsidRPr="00182EFA">
        <w:rPr>
          <w:rFonts w:ascii="Times New Roman" w:hAnsi="Times New Roman" w:cs="Times New Roman"/>
          <w:sz w:val="24"/>
          <w:szCs w:val="24"/>
        </w:rPr>
        <w:t xml:space="preserve"> lopkopības</w:t>
      </w:r>
      <w:r>
        <w:rPr>
          <w:rFonts w:ascii="Times New Roman" w:hAnsi="Times New Roman" w:cs="Times New Roman"/>
          <w:sz w:val="24"/>
          <w:szCs w:val="24"/>
        </w:rPr>
        <w:t>,</w:t>
      </w:r>
      <w:r w:rsidR="00A27812" w:rsidRPr="00182EFA">
        <w:rPr>
          <w:rFonts w:ascii="Times New Roman" w:hAnsi="Times New Roman" w:cs="Times New Roman"/>
          <w:sz w:val="24"/>
          <w:szCs w:val="24"/>
        </w:rPr>
        <w:t xml:space="preserve"> medniecības un saistīto palīgdarbību nozarē (</w:t>
      </w:r>
      <w:r w:rsidR="00A27812" w:rsidRPr="00C006E8">
        <w:rPr>
          <w:rFonts w:ascii="Times New Roman" w:hAnsi="Times New Roman" w:cs="Times New Roman"/>
          <w:i/>
          <w:sz w:val="24"/>
          <w:szCs w:val="24"/>
        </w:rPr>
        <w:t>NACE</w:t>
      </w:r>
      <w:r w:rsidR="00A27812" w:rsidRPr="00182EFA">
        <w:rPr>
          <w:rFonts w:ascii="Times New Roman" w:hAnsi="Times New Roman" w:cs="Times New Roman"/>
          <w:sz w:val="24"/>
          <w:szCs w:val="24"/>
        </w:rPr>
        <w:t xml:space="preserve"> 2.</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red. </w:t>
      </w:r>
      <w:proofErr w:type="spellStart"/>
      <w:r w:rsidR="00A27812" w:rsidRPr="00182EFA">
        <w:rPr>
          <w:rFonts w:ascii="Times New Roman" w:hAnsi="Times New Roman" w:cs="Times New Roman"/>
          <w:sz w:val="24"/>
          <w:szCs w:val="24"/>
        </w:rPr>
        <w:t>ap</w:t>
      </w:r>
      <w:r w:rsidR="005B760C">
        <w:rPr>
          <w:rFonts w:ascii="Times New Roman" w:hAnsi="Times New Roman" w:cs="Times New Roman"/>
          <w:sz w:val="24"/>
          <w:szCs w:val="24"/>
        </w:rPr>
        <w:t>k</w:t>
      </w:r>
      <w:proofErr w:type="spellEnd"/>
      <w:r w:rsidR="00A27812" w:rsidRPr="00182EFA">
        <w:rPr>
          <w:rFonts w:ascii="Times New Roman" w:hAnsi="Times New Roman" w:cs="Times New Roman"/>
          <w:sz w:val="24"/>
          <w:szCs w:val="24"/>
        </w:rPr>
        <w:t>. kods 01) 2018.</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gadā </w:t>
      </w:r>
      <w:r>
        <w:rPr>
          <w:rFonts w:ascii="Times New Roman" w:hAnsi="Times New Roman" w:cs="Times New Roman"/>
          <w:sz w:val="24"/>
          <w:szCs w:val="24"/>
        </w:rPr>
        <w:t>salīdzinājumā ar</w:t>
      </w:r>
      <w:r w:rsidR="00A27812" w:rsidRPr="00182EFA">
        <w:rPr>
          <w:rFonts w:ascii="Times New Roman" w:hAnsi="Times New Roman" w:cs="Times New Roman"/>
          <w:sz w:val="24"/>
          <w:szCs w:val="24"/>
        </w:rPr>
        <w:t xml:space="preserve"> 2017.</w:t>
      </w:r>
      <w:r>
        <w:rPr>
          <w:rFonts w:ascii="Times New Roman" w:hAnsi="Times New Roman" w:cs="Times New Roman"/>
          <w:sz w:val="24"/>
          <w:szCs w:val="24"/>
        </w:rPr>
        <w:t> </w:t>
      </w:r>
      <w:r w:rsidR="00A27812" w:rsidRPr="00182EFA">
        <w:rPr>
          <w:rFonts w:ascii="Times New Roman" w:hAnsi="Times New Roman" w:cs="Times New Roman"/>
          <w:sz w:val="24"/>
          <w:szCs w:val="24"/>
        </w:rPr>
        <w:t xml:space="preserve">gadu ir samazinājušies par 3,4 milj. </w:t>
      </w:r>
      <w:proofErr w:type="spellStart"/>
      <w:r w:rsidR="00A27812" w:rsidRPr="00182EFA">
        <w:rPr>
          <w:rFonts w:ascii="Times New Roman" w:hAnsi="Times New Roman" w:cs="Times New Roman"/>
          <w:i/>
          <w:sz w:val="24"/>
          <w:szCs w:val="24"/>
        </w:rPr>
        <w:t>euro</w:t>
      </w:r>
      <w:proofErr w:type="spellEnd"/>
      <w:r w:rsidR="00A27812" w:rsidRPr="00182EFA">
        <w:rPr>
          <w:rFonts w:ascii="Times New Roman" w:hAnsi="Times New Roman" w:cs="Times New Roman"/>
          <w:sz w:val="24"/>
          <w:szCs w:val="24"/>
        </w:rPr>
        <w:t xml:space="preserve"> (no </w:t>
      </w:r>
      <w:r>
        <w:rPr>
          <w:rFonts w:ascii="Times New Roman" w:hAnsi="Times New Roman" w:cs="Times New Roman"/>
          <w:sz w:val="24"/>
          <w:szCs w:val="24"/>
        </w:rPr>
        <w:t>– </w:t>
      </w:r>
      <w:r w:rsidR="00A27812" w:rsidRPr="00182EFA">
        <w:rPr>
          <w:rFonts w:ascii="Times New Roman" w:hAnsi="Times New Roman" w:cs="Times New Roman"/>
          <w:sz w:val="24"/>
          <w:szCs w:val="24"/>
        </w:rPr>
        <w:t xml:space="preserve">1,7 milj. </w:t>
      </w:r>
      <w:proofErr w:type="spellStart"/>
      <w:r w:rsidR="00A27812" w:rsidRPr="00C006E8">
        <w:rPr>
          <w:rFonts w:ascii="Times New Roman" w:hAnsi="Times New Roman" w:cs="Times New Roman"/>
          <w:i/>
          <w:sz w:val="24"/>
          <w:szCs w:val="24"/>
        </w:rPr>
        <w:t>euro</w:t>
      </w:r>
      <w:proofErr w:type="spellEnd"/>
      <w:r w:rsidR="00A27812" w:rsidRPr="00182EFA">
        <w:rPr>
          <w:rFonts w:ascii="Times New Roman" w:hAnsi="Times New Roman" w:cs="Times New Roman"/>
          <w:sz w:val="24"/>
          <w:szCs w:val="24"/>
        </w:rPr>
        <w:t xml:space="preserve"> 2017.</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gadā </w:t>
      </w:r>
      <w:r>
        <w:rPr>
          <w:rFonts w:ascii="Times New Roman" w:hAnsi="Times New Roman" w:cs="Times New Roman"/>
          <w:sz w:val="24"/>
          <w:szCs w:val="24"/>
        </w:rPr>
        <w:t>līdz</w:t>
      </w:r>
      <w:r w:rsidR="00A27812" w:rsidRPr="00182EFA">
        <w:rPr>
          <w:rFonts w:ascii="Times New Roman" w:hAnsi="Times New Roman" w:cs="Times New Roman"/>
          <w:sz w:val="24"/>
          <w:szCs w:val="24"/>
        </w:rPr>
        <w:t xml:space="preserve"> </w:t>
      </w:r>
      <w:r>
        <w:rPr>
          <w:rFonts w:ascii="Times New Roman" w:hAnsi="Times New Roman" w:cs="Times New Roman"/>
          <w:sz w:val="24"/>
          <w:szCs w:val="24"/>
        </w:rPr>
        <w:t>– </w:t>
      </w:r>
      <w:r w:rsidR="00A27812" w:rsidRPr="00182EFA">
        <w:rPr>
          <w:rFonts w:ascii="Times New Roman" w:hAnsi="Times New Roman" w:cs="Times New Roman"/>
          <w:sz w:val="24"/>
          <w:szCs w:val="24"/>
        </w:rPr>
        <w:t xml:space="preserve">5,1 milj. </w:t>
      </w:r>
      <w:proofErr w:type="spellStart"/>
      <w:r w:rsidR="00A27812" w:rsidRPr="00182EFA">
        <w:rPr>
          <w:rFonts w:ascii="Times New Roman" w:hAnsi="Times New Roman" w:cs="Times New Roman"/>
          <w:i/>
          <w:sz w:val="24"/>
          <w:szCs w:val="24"/>
        </w:rPr>
        <w:t>euro</w:t>
      </w:r>
      <w:proofErr w:type="spellEnd"/>
      <w:r w:rsidR="00A27812" w:rsidRPr="00182EFA">
        <w:rPr>
          <w:rFonts w:ascii="Times New Roman" w:hAnsi="Times New Roman" w:cs="Times New Roman"/>
          <w:sz w:val="24"/>
          <w:szCs w:val="24"/>
        </w:rPr>
        <w:t xml:space="preserve"> 2018.</w:t>
      </w:r>
      <w:r>
        <w:rPr>
          <w:rFonts w:ascii="Times New Roman" w:hAnsi="Times New Roman" w:cs="Times New Roman"/>
          <w:sz w:val="24"/>
          <w:szCs w:val="24"/>
        </w:rPr>
        <w:t> </w:t>
      </w:r>
      <w:r w:rsidR="00A27812" w:rsidRPr="00182EFA">
        <w:rPr>
          <w:rFonts w:ascii="Times New Roman" w:hAnsi="Times New Roman" w:cs="Times New Roman"/>
          <w:sz w:val="24"/>
          <w:szCs w:val="24"/>
        </w:rPr>
        <w:t>gadā). 2019.</w:t>
      </w:r>
      <w:r>
        <w:rPr>
          <w:rFonts w:ascii="Times New Roman" w:hAnsi="Times New Roman" w:cs="Times New Roman"/>
          <w:sz w:val="24"/>
          <w:szCs w:val="24"/>
        </w:rPr>
        <w:t> </w:t>
      </w:r>
      <w:r w:rsidR="00A27812" w:rsidRPr="00182EFA">
        <w:rPr>
          <w:rFonts w:ascii="Times New Roman" w:hAnsi="Times New Roman" w:cs="Times New Roman"/>
          <w:sz w:val="24"/>
          <w:szCs w:val="24"/>
        </w:rPr>
        <w:t>gad</w:t>
      </w:r>
      <w:r>
        <w:rPr>
          <w:rFonts w:ascii="Times New Roman" w:hAnsi="Times New Roman" w:cs="Times New Roman"/>
          <w:sz w:val="24"/>
          <w:szCs w:val="24"/>
        </w:rPr>
        <w:t>ā</w:t>
      </w:r>
      <w:r w:rsidR="00A27812" w:rsidRPr="00182EFA">
        <w:rPr>
          <w:rFonts w:ascii="Times New Roman" w:hAnsi="Times New Roman" w:cs="Times New Roman"/>
          <w:sz w:val="24"/>
          <w:szCs w:val="24"/>
        </w:rPr>
        <w:t xml:space="preserve"> budžetā iemaksājamā summa salīdzinājumā ar 2018.</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xml:space="preserve">gadu samazinājusies par 0,3 milj. </w:t>
      </w:r>
      <w:proofErr w:type="spellStart"/>
      <w:r w:rsidR="00A27812" w:rsidRPr="00182EFA">
        <w:rPr>
          <w:rFonts w:ascii="Times New Roman" w:hAnsi="Times New Roman" w:cs="Times New Roman"/>
          <w:i/>
          <w:sz w:val="24"/>
          <w:szCs w:val="24"/>
        </w:rPr>
        <w:t>euro</w:t>
      </w:r>
      <w:proofErr w:type="spellEnd"/>
      <w:r w:rsidR="00A27812" w:rsidRPr="00182EFA">
        <w:rPr>
          <w:rFonts w:ascii="Times New Roman" w:hAnsi="Times New Roman" w:cs="Times New Roman"/>
          <w:sz w:val="24"/>
          <w:szCs w:val="24"/>
        </w:rPr>
        <w:t xml:space="preserve"> un atmaksājamā summa p</w:t>
      </w:r>
      <w:r>
        <w:rPr>
          <w:rFonts w:ascii="Times New Roman" w:hAnsi="Times New Roman" w:cs="Times New Roman"/>
          <w:sz w:val="24"/>
          <w:szCs w:val="24"/>
        </w:rPr>
        <w:t>alielinājusies</w:t>
      </w:r>
      <w:r w:rsidR="00A27812" w:rsidRPr="00182EFA">
        <w:rPr>
          <w:rFonts w:ascii="Times New Roman" w:hAnsi="Times New Roman" w:cs="Times New Roman"/>
          <w:sz w:val="24"/>
          <w:szCs w:val="24"/>
        </w:rPr>
        <w:t xml:space="preserve"> par 1 milj. </w:t>
      </w:r>
      <w:proofErr w:type="spellStart"/>
      <w:r w:rsidR="00A27812" w:rsidRPr="00182EFA">
        <w:rPr>
          <w:rFonts w:ascii="Times New Roman" w:hAnsi="Times New Roman" w:cs="Times New Roman"/>
          <w:i/>
          <w:sz w:val="24"/>
          <w:szCs w:val="24"/>
        </w:rPr>
        <w:t>euro</w:t>
      </w:r>
      <w:proofErr w:type="spellEnd"/>
      <w:r>
        <w:rPr>
          <w:rFonts w:ascii="Times New Roman" w:hAnsi="Times New Roman" w:cs="Times New Roman"/>
          <w:sz w:val="24"/>
          <w:szCs w:val="24"/>
        </w:rPr>
        <w:t>.</w:t>
      </w:r>
      <w:r w:rsidR="00A27812" w:rsidRPr="00182EFA">
        <w:rPr>
          <w:rFonts w:ascii="Times New Roman" w:hAnsi="Times New Roman" w:cs="Times New Roman"/>
          <w:sz w:val="24"/>
          <w:szCs w:val="24"/>
        </w:rPr>
        <w:t xml:space="preserve"> </w:t>
      </w:r>
      <w:r>
        <w:rPr>
          <w:rFonts w:ascii="Times New Roman" w:hAnsi="Times New Roman" w:cs="Times New Roman"/>
          <w:sz w:val="24"/>
          <w:szCs w:val="24"/>
        </w:rPr>
        <w:t>Tātad</w:t>
      </w:r>
      <w:r w:rsidR="00A27812" w:rsidRPr="00182EFA">
        <w:rPr>
          <w:rFonts w:ascii="Times New Roman" w:hAnsi="Times New Roman" w:cs="Times New Roman"/>
          <w:sz w:val="24"/>
          <w:szCs w:val="24"/>
        </w:rPr>
        <w:t xml:space="preserve"> kopumā PVN ieņēmumi turpina samazināties</w:t>
      </w:r>
      <w:r>
        <w:rPr>
          <w:rFonts w:ascii="Times New Roman" w:hAnsi="Times New Roman" w:cs="Times New Roman"/>
          <w:sz w:val="24"/>
          <w:szCs w:val="24"/>
        </w:rPr>
        <w:t>, tāpēc</w:t>
      </w:r>
      <w:r w:rsidR="00A27812" w:rsidRPr="00182EFA">
        <w:rPr>
          <w:rFonts w:ascii="Times New Roman" w:hAnsi="Times New Roman" w:cs="Times New Roman"/>
          <w:sz w:val="24"/>
          <w:szCs w:val="24"/>
        </w:rPr>
        <w:t xml:space="preserve"> prognozējams, ka samazinātās </w:t>
      </w:r>
      <w:r w:rsidRPr="00182EFA">
        <w:rPr>
          <w:rFonts w:ascii="Times New Roman" w:hAnsi="Times New Roman" w:cs="Times New Roman"/>
          <w:sz w:val="24"/>
          <w:szCs w:val="24"/>
        </w:rPr>
        <w:t xml:space="preserve">PVN </w:t>
      </w:r>
      <w:r w:rsidR="00A27812" w:rsidRPr="00182EFA">
        <w:rPr>
          <w:rFonts w:ascii="Times New Roman" w:hAnsi="Times New Roman" w:cs="Times New Roman"/>
          <w:sz w:val="24"/>
          <w:szCs w:val="24"/>
        </w:rPr>
        <w:t>likmes saglabāšana 5</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 apmērā svaigiem augļiem, ogām un dārzeņiem rada negatīvu fiskālo ietekmi uz valsts pamatbudžeta ieņēmumiem, jo ieviestais pasākums bija terminēts līdz 2020.</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gada 31.</w:t>
      </w:r>
      <w:r>
        <w:rPr>
          <w:rFonts w:ascii="Times New Roman" w:hAnsi="Times New Roman" w:cs="Times New Roman"/>
          <w:sz w:val="24"/>
          <w:szCs w:val="24"/>
        </w:rPr>
        <w:t> </w:t>
      </w:r>
      <w:r w:rsidR="00A27812" w:rsidRPr="00182EFA">
        <w:rPr>
          <w:rFonts w:ascii="Times New Roman" w:hAnsi="Times New Roman" w:cs="Times New Roman"/>
          <w:sz w:val="24"/>
          <w:szCs w:val="24"/>
        </w:rPr>
        <w:t xml:space="preserve">decembrim. </w:t>
      </w:r>
      <w:r>
        <w:rPr>
          <w:rFonts w:ascii="Times New Roman" w:hAnsi="Times New Roman" w:cs="Times New Roman"/>
          <w:sz w:val="24"/>
          <w:szCs w:val="24"/>
        </w:rPr>
        <w:t>Tādējādi</w:t>
      </w:r>
      <w:r w:rsidR="00A27812" w:rsidRPr="00182EFA">
        <w:rPr>
          <w:rFonts w:ascii="Times New Roman" w:hAnsi="Times New Roman" w:cs="Times New Roman"/>
          <w:sz w:val="24"/>
          <w:szCs w:val="24"/>
        </w:rPr>
        <w:t xml:space="preserve"> PVN ieņēmumi</w:t>
      </w:r>
      <w:r>
        <w:rPr>
          <w:rFonts w:ascii="Times New Roman" w:hAnsi="Times New Roman" w:cs="Times New Roman"/>
          <w:sz w:val="24"/>
          <w:szCs w:val="24"/>
        </w:rPr>
        <w:t>,</w:t>
      </w:r>
      <w:r w:rsidR="00A27812" w:rsidRPr="00182EFA">
        <w:rPr>
          <w:rFonts w:ascii="Times New Roman" w:hAnsi="Times New Roman" w:cs="Times New Roman"/>
          <w:sz w:val="24"/>
          <w:szCs w:val="24"/>
        </w:rPr>
        <w:t xml:space="preserve"> sākot ar 2021.</w:t>
      </w:r>
      <w:r>
        <w:rPr>
          <w:rFonts w:ascii="Times New Roman" w:hAnsi="Times New Roman" w:cs="Times New Roman"/>
          <w:sz w:val="24"/>
          <w:szCs w:val="24"/>
        </w:rPr>
        <w:t xml:space="preserve"> </w:t>
      </w:r>
      <w:r w:rsidR="00A27812" w:rsidRPr="00182EFA">
        <w:rPr>
          <w:rFonts w:ascii="Times New Roman" w:hAnsi="Times New Roman" w:cs="Times New Roman"/>
          <w:sz w:val="24"/>
          <w:szCs w:val="24"/>
        </w:rPr>
        <w:t>gadu</w:t>
      </w:r>
      <w:r>
        <w:rPr>
          <w:rFonts w:ascii="Times New Roman" w:hAnsi="Times New Roman" w:cs="Times New Roman"/>
          <w:sz w:val="24"/>
          <w:szCs w:val="24"/>
        </w:rPr>
        <w:t>,</w:t>
      </w:r>
      <w:r w:rsidR="00A27812" w:rsidRPr="00182EFA">
        <w:rPr>
          <w:rFonts w:ascii="Times New Roman" w:hAnsi="Times New Roman" w:cs="Times New Roman"/>
          <w:sz w:val="24"/>
          <w:szCs w:val="24"/>
        </w:rPr>
        <w:t xml:space="preserve"> ik gadu indikatīvi </w:t>
      </w:r>
      <w:r>
        <w:rPr>
          <w:rFonts w:ascii="Times New Roman" w:hAnsi="Times New Roman" w:cs="Times New Roman"/>
          <w:sz w:val="24"/>
          <w:szCs w:val="24"/>
        </w:rPr>
        <w:t xml:space="preserve">ir </w:t>
      </w:r>
      <w:r w:rsidRPr="00182EFA">
        <w:rPr>
          <w:rFonts w:ascii="Times New Roman" w:hAnsi="Times New Roman" w:cs="Times New Roman"/>
          <w:sz w:val="24"/>
          <w:szCs w:val="24"/>
        </w:rPr>
        <w:t xml:space="preserve">samazināmi </w:t>
      </w:r>
      <w:r w:rsidR="00A27812" w:rsidRPr="00182EFA">
        <w:rPr>
          <w:rFonts w:ascii="Times New Roman" w:hAnsi="Times New Roman" w:cs="Times New Roman"/>
          <w:sz w:val="24"/>
          <w:szCs w:val="24"/>
        </w:rPr>
        <w:t xml:space="preserve">par 3 milj. </w:t>
      </w:r>
      <w:proofErr w:type="spellStart"/>
      <w:r w:rsidR="00A27812" w:rsidRPr="00182EFA">
        <w:rPr>
          <w:rFonts w:ascii="Times New Roman" w:hAnsi="Times New Roman" w:cs="Times New Roman"/>
          <w:i/>
          <w:sz w:val="24"/>
          <w:szCs w:val="24"/>
        </w:rPr>
        <w:t>euro</w:t>
      </w:r>
      <w:proofErr w:type="spellEnd"/>
      <w:r w:rsidR="00A27812" w:rsidRPr="00182EFA">
        <w:rPr>
          <w:rFonts w:ascii="Times New Roman" w:hAnsi="Times New Roman" w:cs="Times New Roman"/>
          <w:sz w:val="24"/>
          <w:szCs w:val="24"/>
        </w:rPr>
        <w:t>.</w:t>
      </w:r>
    </w:p>
    <w:p w14:paraId="4297BA84" w14:textId="167CD81B" w:rsidR="001E6A86" w:rsidRDefault="001559B2" w:rsidP="00DE7B44">
      <w:pPr>
        <w:spacing w:after="0" w:line="240" w:lineRule="auto"/>
        <w:ind w:firstLine="709"/>
        <w:jc w:val="both"/>
        <w:rPr>
          <w:rFonts w:ascii="Times New Roman" w:hAnsi="Times New Roman" w:cs="Times New Roman"/>
          <w:sz w:val="24"/>
          <w:szCs w:val="24"/>
        </w:rPr>
      </w:pPr>
      <w:r w:rsidRPr="00DE7B44">
        <w:rPr>
          <w:rFonts w:ascii="Times New Roman" w:hAnsi="Times New Roman" w:cs="Times New Roman"/>
          <w:sz w:val="24"/>
          <w:szCs w:val="24"/>
        </w:rPr>
        <w:t>Atbilstoši Ministru kabineta 2020.</w:t>
      </w:r>
      <w:r w:rsidR="007C1FEA">
        <w:rPr>
          <w:rFonts w:ascii="Times New Roman" w:hAnsi="Times New Roman" w:cs="Times New Roman"/>
          <w:sz w:val="24"/>
          <w:szCs w:val="24"/>
        </w:rPr>
        <w:t xml:space="preserve"> </w:t>
      </w:r>
      <w:r w:rsidRPr="00DE7B44">
        <w:rPr>
          <w:rFonts w:ascii="Times New Roman" w:hAnsi="Times New Roman" w:cs="Times New Roman"/>
          <w:sz w:val="24"/>
          <w:szCs w:val="24"/>
        </w:rPr>
        <w:t>gada 30.</w:t>
      </w:r>
      <w:r w:rsidR="007C1FEA">
        <w:rPr>
          <w:rFonts w:ascii="Times New Roman" w:hAnsi="Times New Roman" w:cs="Times New Roman"/>
          <w:sz w:val="24"/>
          <w:szCs w:val="24"/>
        </w:rPr>
        <w:t xml:space="preserve"> </w:t>
      </w:r>
      <w:r w:rsidRPr="00DE7B44">
        <w:rPr>
          <w:rFonts w:ascii="Times New Roman" w:hAnsi="Times New Roman" w:cs="Times New Roman"/>
          <w:sz w:val="24"/>
          <w:szCs w:val="24"/>
        </w:rPr>
        <w:t xml:space="preserve">septembra sēdes protokollēmuma </w:t>
      </w:r>
      <w:r w:rsidR="00920D70" w:rsidRPr="00DE7B44">
        <w:rPr>
          <w:rFonts w:ascii="Times New Roman" w:hAnsi="Times New Roman" w:cs="Times New Roman"/>
          <w:sz w:val="24"/>
          <w:szCs w:val="24"/>
        </w:rPr>
        <w:t>Nr.</w:t>
      </w:r>
      <w:r w:rsidR="007C1FEA">
        <w:rPr>
          <w:rFonts w:ascii="Times New Roman" w:hAnsi="Times New Roman" w:cs="Times New Roman"/>
          <w:sz w:val="24"/>
          <w:szCs w:val="24"/>
        </w:rPr>
        <w:t> </w:t>
      </w:r>
      <w:r w:rsidR="00920D70" w:rsidRPr="00DE7B44">
        <w:rPr>
          <w:rFonts w:ascii="Times New Roman" w:hAnsi="Times New Roman" w:cs="Times New Roman"/>
          <w:sz w:val="24"/>
          <w:szCs w:val="24"/>
        </w:rPr>
        <w:t>57 28.§</w:t>
      </w:r>
      <w:r w:rsidR="00986D62" w:rsidRPr="00DE7B44">
        <w:rPr>
          <w:rFonts w:ascii="Times New Roman" w:hAnsi="Times New Roman" w:cs="Times New Roman"/>
          <w:sz w:val="24"/>
          <w:szCs w:val="24"/>
        </w:rPr>
        <w:t xml:space="preserve"> “Likumprojekts “Grozījumi Pievienotās vērtības nodokļa likumā””</w:t>
      </w:r>
      <w:r w:rsidR="007778C2" w:rsidRPr="00DE7B44">
        <w:rPr>
          <w:rStyle w:val="FootnoteReference"/>
          <w:rFonts w:ascii="Times New Roman" w:hAnsi="Times New Roman" w:cs="Times New Roman"/>
          <w:sz w:val="24"/>
          <w:szCs w:val="24"/>
        </w:rPr>
        <w:footnoteReference w:id="8"/>
      </w:r>
      <w:r w:rsidR="009D075E" w:rsidRPr="00DE7B44">
        <w:rPr>
          <w:rFonts w:ascii="Times New Roman" w:hAnsi="Times New Roman" w:cs="Times New Roman"/>
          <w:sz w:val="24"/>
          <w:szCs w:val="24"/>
        </w:rPr>
        <w:t xml:space="preserve"> </w:t>
      </w:r>
      <w:r w:rsidR="006F17FC" w:rsidRPr="00DE7B44">
        <w:rPr>
          <w:rFonts w:ascii="Times New Roman" w:hAnsi="Times New Roman" w:cs="Times New Roman"/>
          <w:sz w:val="24"/>
          <w:szCs w:val="24"/>
        </w:rPr>
        <w:t>1.</w:t>
      </w:r>
      <w:r w:rsidR="007C1FEA">
        <w:rPr>
          <w:rFonts w:ascii="Times New Roman" w:hAnsi="Times New Roman" w:cs="Times New Roman"/>
          <w:sz w:val="24"/>
          <w:szCs w:val="24"/>
        </w:rPr>
        <w:t> </w:t>
      </w:r>
      <w:r w:rsidR="006F17FC" w:rsidRPr="00DE7B44">
        <w:rPr>
          <w:rFonts w:ascii="Times New Roman" w:hAnsi="Times New Roman" w:cs="Times New Roman"/>
          <w:sz w:val="24"/>
          <w:szCs w:val="24"/>
        </w:rPr>
        <w:t xml:space="preserve">punktam </w:t>
      </w:r>
      <w:r w:rsidR="007C1FEA">
        <w:rPr>
          <w:rFonts w:ascii="Times New Roman" w:hAnsi="Times New Roman" w:cs="Times New Roman"/>
          <w:sz w:val="24"/>
          <w:szCs w:val="24"/>
        </w:rPr>
        <w:t xml:space="preserve">ir </w:t>
      </w:r>
      <w:r w:rsidR="009D075E" w:rsidRPr="00DE7B44">
        <w:rPr>
          <w:rFonts w:ascii="Times New Roman" w:hAnsi="Times New Roman" w:cs="Times New Roman"/>
          <w:sz w:val="24"/>
          <w:szCs w:val="24"/>
        </w:rPr>
        <w:t xml:space="preserve">pieņemts lēmums saglabāt </w:t>
      </w:r>
      <w:r w:rsidR="0090017D" w:rsidRPr="00DE7B44">
        <w:rPr>
          <w:rFonts w:ascii="Times New Roman" w:hAnsi="Times New Roman" w:cs="Times New Roman"/>
          <w:sz w:val="24"/>
          <w:szCs w:val="24"/>
        </w:rPr>
        <w:t xml:space="preserve">samazināto </w:t>
      </w:r>
      <w:r w:rsidR="007C1FEA" w:rsidRPr="00DE7B44">
        <w:rPr>
          <w:rFonts w:ascii="Times New Roman" w:hAnsi="Times New Roman" w:cs="Times New Roman"/>
          <w:sz w:val="24"/>
          <w:szCs w:val="24"/>
        </w:rPr>
        <w:t xml:space="preserve">PVN </w:t>
      </w:r>
      <w:r w:rsidR="0090017D" w:rsidRPr="00DE7B44">
        <w:rPr>
          <w:rFonts w:ascii="Times New Roman" w:hAnsi="Times New Roman" w:cs="Times New Roman"/>
          <w:sz w:val="24"/>
          <w:szCs w:val="24"/>
        </w:rPr>
        <w:t>likmi līdz 2023.</w:t>
      </w:r>
      <w:r w:rsidR="007C1FEA">
        <w:rPr>
          <w:rFonts w:ascii="Times New Roman" w:hAnsi="Times New Roman" w:cs="Times New Roman"/>
          <w:sz w:val="24"/>
          <w:szCs w:val="24"/>
        </w:rPr>
        <w:t xml:space="preserve"> </w:t>
      </w:r>
      <w:r w:rsidR="0090017D" w:rsidRPr="00DE7B44">
        <w:rPr>
          <w:rFonts w:ascii="Times New Roman" w:hAnsi="Times New Roman" w:cs="Times New Roman"/>
          <w:sz w:val="24"/>
          <w:szCs w:val="24"/>
        </w:rPr>
        <w:t>gada 31.</w:t>
      </w:r>
      <w:r w:rsidR="007C1FEA">
        <w:rPr>
          <w:rFonts w:ascii="Times New Roman" w:hAnsi="Times New Roman" w:cs="Times New Roman"/>
          <w:sz w:val="24"/>
          <w:szCs w:val="24"/>
        </w:rPr>
        <w:t xml:space="preserve"> </w:t>
      </w:r>
      <w:r w:rsidR="0090017D" w:rsidRPr="00DE7B44">
        <w:rPr>
          <w:rFonts w:ascii="Times New Roman" w:hAnsi="Times New Roman" w:cs="Times New Roman"/>
          <w:sz w:val="24"/>
          <w:szCs w:val="24"/>
        </w:rPr>
        <w:t>dece</w:t>
      </w:r>
      <w:r w:rsidR="00F71814" w:rsidRPr="00DE7B44">
        <w:rPr>
          <w:rFonts w:ascii="Times New Roman" w:hAnsi="Times New Roman" w:cs="Times New Roman"/>
          <w:sz w:val="24"/>
          <w:szCs w:val="24"/>
        </w:rPr>
        <w:t>mbrim</w:t>
      </w:r>
      <w:r w:rsidR="000C4BF9" w:rsidRPr="00DE7B44">
        <w:rPr>
          <w:rFonts w:ascii="Times New Roman" w:hAnsi="Times New Roman" w:cs="Times New Roman"/>
          <w:sz w:val="24"/>
          <w:szCs w:val="24"/>
        </w:rPr>
        <w:t xml:space="preserve"> </w:t>
      </w:r>
      <w:r w:rsidR="000C2797" w:rsidRPr="00DE7B44">
        <w:rPr>
          <w:rFonts w:ascii="Times New Roman" w:hAnsi="Times New Roman" w:cs="Times New Roman"/>
          <w:sz w:val="24"/>
          <w:szCs w:val="24"/>
        </w:rPr>
        <w:t xml:space="preserve">un saskaņā ar </w:t>
      </w:r>
      <w:r w:rsidR="004D7F74" w:rsidRPr="00DE7B44">
        <w:rPr>
          <w:rFonts w:ascii="Times New Roman" w:hAnsi="Times New Roman" w:cs="Times New Roman"/>
          <w:sz w:val="24"/>
          <w:szCs w:val="24"/>
        </w:rPr>
        <w:t>4.</w:t>
      </w:r>
      <w:r w:rsidR="007C1FEA">
        <w:rPr>
          <w:rFonts w:ascii="Times New Roman" w:hAnsi="Times New Roman" w:cs="Times New Roman"/>
          <w:sz w:val="24"/>
          <w:szCs w:val="24"/>
        </w:rPr>
        <w:t> </w:t>
      </w:r>
      <w:r w:rsidR="004D7F74" w:rsidRPr="00DE7B44">
        <w:rPr>
          <w:rFonts w:ascii="Times New Roman" w:hAnsi="Times New Roman" w:cs="Times New Roman"/>
          <w:sz w:val="24"/>
          <w:szCs w:val="24"/>
        </w:rPr>
        <w:t xml:space="preserve">punktu </w:t>
      </w:r>
      <w:r w:rsidR="006F17FC" w:rsidRPr="00DE7B44">
        <w:rPr>
          <w:rFonts w:ascii="Times New Roman" w:hAnsi="Times New Roman" w:cs="Times New Roman"/>
          <w:sz w:val="24"/>
          <w:szCs w:val="24"/>
        </w:rPr>
        <w:t>dot</w:t>
      </w:r>
      <w:r w:rsidR="004D7F74" w:rsidRPr="00DE7B44">
        <w:rPr>
          <w:rFonts w:ascii="Times New Roman" w:hAnsi="Times New Roman" w:cs="Times New Roman"/>
          <w:sz w:val="24"/>
          <w:szCs w:val="24"/>
        </w:rPr>
        <w:t>s</w:t>
      </w:r>
      <w:r w:rsidR="006F17FC" w:rsidRPr="00DE7B44">
        <w:rPr>
          <w:rFonts w:ascii="Times New Roman" w:hAnsi="Times New Roman" w:cs="Times New Roman"/>
          <w:sz w:val="24"/>
          <w:szCs w:val="24"/>
        </w:rPr>
        <w:t xml:space="preserve"> uzdevum</w:t>
      </w:r>
      <w:r w:rsidR="004D7F74" w:rsidRPr="00DE7B44">
        <w:rPr>
          <w:rFonts w:ascii="Times New Roman" w:hAnsi="Times New Roman" w:cs="Times New Roman"/>
          <w:sz w:val="24"/>
          <w:szCs w:val="24"/>
        </w:rPr>
        <w:t>s Zemkopības ministrijai</w:t>
      </w:r>
      <w:r w:rsidR="00004B19" w:rsidRPr="00DE7B44">
        <w:rPr>
          <w:rFonts w:ascii="Times New Roman" w:hAnsi="Times New Roman" w:cs="Times New Roman"/>
          <w:sz w:val="24"/>
          <w:szCs w:val="24"/>
        </w:rPr>
        <w:t xml:space="preserve"> sagatavot un iesniegt izskatīšanai Ministru kabinetā informatīvo ziņojumu par augļkopības un dārzeņkopības nozares analīzi, kurā</w:t>
      </w:r>
      <w:r w:rsidR="001440EC" w:rsidRPr="00DE7B44">
        <w:rPr>
          <w:rFonts w:ascii="Times New Roman" w:hAnsi="Times New Roman" w:cs="Times New Roman"/>
          <w:sz w:val="24"/>
          <w:szCs w:val="24"/>
        </w:rPr>
        <w:t xml:space="preserve"> </w:t>
      </w:r>
      <w:r w:rsidR="005B760C">
        <w:rPr>
          <w:rFonts w:ascii="Times New Roman" w:hAnsi="Times New Roman" w:cs="Times New Roman"/>
          <w:sz w:val="24"/>
          <w:szCs w:val="24"/>
        </w:rPr>
        <w:t xml:space="preserve">izvērtēta </w:t>
      </w:r>
      <w:r w:rsidR="001440EC" w:rsidRPr="00DE7B44">
        <w:rPr>
          <w:rFonts w:ascii="Times New Roman" w:hAnsi="Times New Roman" w:cs="Times New Roman"/>
          <w:sz w:val="24"/>
          <w:szCs w:val="24"/>
        </w:rPr>
        <w:t>augļko</w:t>
      </w:r>
      <w:r w:rsidR="00F95662" w:rsidRPr="00DE7B44">
        <w:rPr>
          <w:rFonts w:ascii="Times New Roman" w:hAnsi="Times New Roman" w:cs="Times New Roman"/>
          <w:sz w:val="24"/>
          <w:szCs w:val="24"/>
        </w:rPr>
        <w:t>pības un dārzeņkopības nozaru attīstība</w:t>
      </w:r>
      <w:r w:rsidR="00682C8C" w:rsidRPr="00DE7B44">
        <w:rPr>
          <w:rFonts w:ascii="Times New Roman" w:hAnsi="Times New Roman" w:cs="Times New Roman"/>
          <w:sz w:val="24"/>
          <w:szCs w:val="24"/>
        </w:rPr>
        <w:t xml:space="preserve">, tostarp par platību </w:t>
      </w:r>
      <w:r w:rsidR="005B760C">
        <w:rPr>
          <w:rFonts w:ascii="Times New Roman" w:hAnsi="Times New Roman" w:cs="Times New Roman"/>
          <w:sz w:val="24"/>
          <w:szCs w:val="24"/>
        </w:rPr>
        <w:t>pār</w:t>
      </w:r>
      <w:r w:rsidR="00682C8C" w:rsidRPr="00DE7B44">
        <w:rPr>
          <w:rFonts w:ascii="Times New Roman" w:hAnsi="Times New Roman" w:cs="Times New Roman"/>
          <w:sz w:val="24"/>
          <w:szCs w:val="24"/>
        </w:rPr>
        <w:t>maiņām, saražotās produkcijas apjom</w:t>
      </w:r>
      <w:r w:rsidR="005B760C">
        <w:rPr>
          <w:rFonts w:ascii="Times New Roman" w:hAnsi="Times New Roman" w:cs="Times New Roman"/>
          <w:sz w:val="24"/>
          <w:szCs w:val="24"/>
        </w:rPr>
        <w:t>u</w:t>
      </w:r>
      <w:r w:rsidR="00682C8C" w:rsidRPr="00DE7B44">
        <w:rPr>
          <w:rFonts w:ascii="Times New Roman" w:hAnsi="Times New Roman" w:cs="Times New Roman"/>
          <w:sz w:val="24"/>
          <w:szCs w:val="24"/>
        </w:rPr>
        <w:t xml:space="preserve">, </w:t>
      </w:r>
      <w:r w:rsidR="005B760C">
        <w:rPr>
          <w:rFonts w:ascii="Times New Roman" w:hAnsi="Times New Roman" w:cs="Times New Roman"/>
          <w:sz w:val="24"/>
          <w:szCs w:val="24"/>
        </w:rPr>
        <w:t xml:space="preserve">kā arī </w:t>
      </w:r>
      <w:r w:rsidR="00682C8C" w:rsidRPr="00DE7B44">
        <w:rPr>
          <w:rFonts w:ascii="Times New Roman" w:hAnsi="Times New Roman" w:cs="Times New Roman"/>
          <w:sz w:val="24"/>
          <w:szCs w:val="24"/>
        </w:rPr>
        <w:t xml:space="preserve">ārējās tirdzniecības </w:t>
      </w:r>
      <w:r w:rsidR="005B760C">
        <w:rPr>
          <w:rFonts w:ascii="Times New Roman" w:hAnsi="Times New Roman" w:cs="Times New Roman"/>
          <w:sz w:val="24"/>
          <w:szCs w:val="24"/>
        </w:rPr>
        <w:t>un</w:t>
      </w:r>
      <w:r w:rsidR="00682C8C" w:rsidRPr="00DE7B44">
        <w:rPr>
          <w:rFonts w:ascii="Times New Roman" w:hAnsi="Times New Roman" w:cs="Times New Roman"/>
          <w:sz w:val="24"/>
          <w:szCs w:val="24"/>
        </w:rPr>
        <w:t xml:space="preserve"> darbaspēka </w:t>
      </w:r>
      <w:r w:rsidR="005B760C">
        <w:rPr>
          <w:rFonts w:ascii="Times New Roman" w:hAnsi="Times New Roman" w:cs="Times New Roman"/>
          <w:sz w:val="24"/>
          <w:szCs w:val="24"/>
        </w:rPr>
        <w:t>pār</w:t>
      </w:r>
      <w:r w:rsidR="00682C8C" w:rsidRPr="00DE7B44">
        <w:rPr>
          <w:rFonts w:ascii="Times New Roman" w:hAnsi="Times New Roman" w:cs="Times New Roman"/>
          <w:sz w:val="24"/>
          <w:szCs w:val="24"/>
        </w:rPr>
        <w:t>maiņām</w:t>
      </w:r>
      <w:r w:rsidR="005B760C">
        <w:rPr>
          <w:rFonts w:ascii="Times New Roman" w:hAnsi="Times New Roman" w:cs="Times New Roman"/>
          <w:sz w:val="24"/>
          <w:szCs w:val="24"/>
        </w:rPr>
        <w:t>.</w:t>
      </w:r>
      <w:r w:rsidR="00682C8C" w:rsidRPr="00DE7B44">
        <w:rPr>
          <w:rFonts w:ascii="Times New Roman" w:hAnsi="Times New Roman" w:cs="Times New Roman"/>
          <w:sz w:val="24"/>
          <w:szCs w:val="24"/>
        </w:rPr>
        <w:t xml:space="preserve"> </w:t>
      </w:r>
      <w:r w:rsidR="005B760C">
        <w:rPr>
          <w:rFonts w:ascii="Times New Roman" w:hAnsi="Times New Roman" w:cs="Times New Roman"/>
          <w:sz w:val="24"/>
          <w:szCs w:val="24"/>
        </w:rPr>
        <w:t xml:space="preserve">Tajā </w:t>
      </w:r>
      <w:r w:rsidR="00460F30" w:rsidRPr="00DE7B44">
        <w:rPr>
          <w:rFonts w:ascii="Times New Roman" w:hAnsi="Times New Roman" w:cs="Times New Roman"/>
          <w:sz w:val="24"/>
          <w:szCs w:val="24"/>
        </w:rPr>
        <w:t>par laikposmu no 2021.</w:t>
      </w:r>
      <w:r w:rsidR="005B760C">
        <w:rPr>
          <w:rFonts w:ascii="Times New Roman" w:hAnsi="Times New Roman" w:cs="Times New Roman"/>
          <w:sz w:val="24"/>
          <w:szCs w:val="24"/>
        </w:rPr>
        <w:t xml:space="preserve"> </w:t>
      </w:r>
      <w:r w:rsidR="00460F30" w:rsidRPr="00DE7B44">
        <w:rPr>
          <w:rFonts w:ascii="Times New Roman" w:hAnsi="Times New Roman" w:cs="Times New Roman"/>
          <w:sz w:val="24"/>
          <w:szCs w:val="24"/>
        </w:rPr>
        <w:t>gada 1.</w:t>
      </w:r>
      <w:r w:rsidR="005B760C">
        <w:rPr>
          <w:rFonts w:ascii="Times New Roman" w:hAnsi="Times New Roman" w:cs="Times New Roman"/>
          <w:sz w:val="24"/>
          <w:szCs w:val="24"/>
        </w:rPr>
        <w:t xml:space="preserve"> </w:t>
      </w:r>
      <w:r w:rsidR="00460F30" w:rsidRPr="00DE7B44">
        <w:rPr>
          <w:rFonts w:ascii="Times New Roman" w:hAnsi="Times New Roman" w:cs="Times New Roman"/>
          <w:sz w:val="24"/>
          <w:szCs w:val="24"/>
        </w:rPr>
        <w:t>janvāra līdz 2023.</w:t>
      </w:r>
      <w:r w:rsidR="005B760C">
        <w:rPr>
          <w:rFonts w:ascii="Times New Roman" w:hAnsi="Times New Roman" w:cs="Times New Roman"/>
          <w:sz w:val="24"/>
          <w:szCs w:val="24"/>
        </w:rPr>
        <w:t xml:space="preserve"> </w:t>
      </w:r>
      <w:r w:rsidR="00460F30" w:rsidRPr="00DE7B44">
        <w:rPr>
          <w:rFonts w:ascii="Times New Roman" w:hAnsi="Times New Roman" w:cs="Times New Roman"/>
          <w:sz w:val="24"/>
          <w:szCs w:val="24"/>
        </w:rPr>
        <w:t>gada 30.</w:t>
      </w:r>
      <w:r w:rsidR="005B760C">
        <w:rPr>
          <w:rFonts w:ascii="Times New Roman" w:hAnsi="Times New Roman" w:cs="Times New Roman"/>
          <w:sz w:val="24"/>
          <w:szCs w:val="24"/>
        </w:rPr>
        <w:t xml:space="preserve"> </w:t>
      </w:r>
      <w:r w:rsidR="00460F30" w:rsidRPr="00DE7B44">
        <w:rPr>
          <w:rFonts w:ascii="Times New Roman" w:hAnsi="Times New Roman" w:cs="Times New Roman"/>
          <w:sz w:val="24"/>
          <w:szCs w:val="24"/>
        </w:rPr>
        <w:t xml:space="preserve">jūnijam </w:t>
      </w:r>
      <w:r w:rsidR="00682C8C" w:rsidRPr="00DE7B44">
        <w:rPr>
          <w:rFonts w:ascii="Times New Roman" w:hAnsi="Times New Roman" w:cs="Times New Roman"/>
          <w:sz w:val="24"/>
          <w:szCs w:val="24"/>
        </w:rPr>
        <w:t xml:space="preserve">sniegts </w:t>
      </w:r>
      <w:r w:rsidR="000C2797" w:rsidRPr="00DE7B44">
        <w:rPr>
          <w:rFonts w:ascii="Times New Roman" w:hAnsi="Times New Roman" w:cs="Times New Roman"/>
          <w:sz w:val="24"/>
          <w:szCs w:val="24"/>
        </w:rPr>
        <w:t xml:space="preserve">šādu </w:t>
      </w:r>
      <w:r w:rsidR="00682C8C" w:rsidRPr="00DE7B44">
        <w:rPr>
          <w:rFonts w:ascii="Times New Roman" w:hAnsi="Times New Roman" w:cs="Times New Roman"/>
          <w:sz w:val="24"/>
          <w:szCs w:val="24"/>
        </w:rPr>
        <w:t>rezultatīvo rādītāju novērtējums</w:t>
      </w:r>
      <w:r w:rsidR="00F8234E" w:rsidRPr="00DE7B44">
        <w:rPr>
          <w:rFonts w:ascii="Times New Roman" w:hAnsi="Times New Roman" w:cs="Times New Roman"/>
          <w:sz w:val="24"/>
          <w:szCs w:val="24"/>
        </w:rPr>
        <w:t>:</w:t>
      </w:r>
    </w:p>
    <w:p w14:paraId="3F15045A" w14:textId="2D7D1CC1" w:rsidR="00F8234E" w:rsidRPr="00F8234E" w:rsidRDefault="00F8234E" w:rsidP="0037271C">
      <w:pPr>
        <w:pStyle w:val="ListParagraph"/>
        <w:numPr>
          <w:ilvl w:val="0"/>
          <w:numId w:val="33"/>
        </w:numPr>
        <w:spacing w:after="0" w:line="240" w:lineRule="auto"/>
        <w:contextualSpacing w:val="0"/>
        <w:jc w:val="both"/>
        <w:rPr>
          <w:rFonts w:ascii="Times New Roman" w:eastAsia="Times New Roman" w:hAnsi="Times New Roman"/>
          <w:sz w:val="24"/>
          <w:szCs w:val="24"/>
          <w:lang w:eastAsia="lv-LV"/>
        </w:rPr>
      </w:pPr>
      <w:r w:rsidRPr="00F8234E">
        <w:rPr>
          <w:rFonts w:ascii="Times New Roman" w:eastAsia="Times New Roman" w:hAnsi="Times New Roman"/>
          <w:sz w:val="24"/>
          <w:szCs w:val="24"/>
          <w:lang w:eastAsia="lv-LV"/>
        </w:rPr>
        <w:t xml:space="preserve">Pievienotās vērtības nodokļa likumā noteikto augļu, ogu un dārzeņu izaudzētās produkcijas vērtība salīdzinājumā </w:t>
      </w:r>
      <w:r w:rsidR="005B760C">
        <w:rPr>
          <w:rFonts w:ascii="Times New Roman" w:eastAsia="Times New Roman" w:hAnsi="Times New Roman"/>
          <w:sz w:val="24"/>
          <w:szCs w:val="24"/>
          <w:lang w:eastAsia="lv-LV"/>
        </w:rPr>
        <w:t>ar</w:t>
      </w:r>
      <w:r w:rsidRPr="00F8234E">
        <w:rPr>
          <w:rFonts w:ascii="Times New Roman" w:eastAsia="Times New Roman" w:hAnsi="Times New Roman"/>
          <w:sz w:val="24"/>
          <w:szCs w:val="24"/>
          <w:lang w:eastAsia="lv-LV"/>
        </w:rPr>
        <w:t xml:space="preserve"> ievesto produkcijas vērtību ir lielāka par </w:t>
      </w:r>
      <w:r w:rsidR="00DE7B44">
        <w:rPr>
          <w:rFonts w:ascii="Times New Roman" w:eastAsia="Times New Roman" w:hAnsi="Times New Roman"/>
          <w:sz w:val="24"/>
          <w:szCs w:val="24"/>
          <w:lang w:eastAsia="lv-LV"/>
        </w:rPr>
        <w:t>vienu</w:t>
      </w:r>
      <w:r w:rsidRPr="00F8234E">
        <w:rPr>
          <w:rFonts w:ascii="Times New Roman" w:eastAsia="Times New Roman" w:hAnsi="Times New Roman"/>
          <w:sz w:val="24"/>
          <w:szCs w:val="24"/>
          <w:lang w:eastAsia="lv-LV"/>
        </w:rPr>
        <w:t xml:space="preserve"> procentpunktu (ik gadu); </w:t>
      </w:r>
    </w:p>
    <w:p w14:paraId="2454BE2C" w14:textId="5FC7A2E5" w:rsidR="00F8234E" w:rsidRPr="00F8234E" w:rsidRDefault="00F8234E" w:rsidP="0037271C">
      <w:pPr>
        <w:pStyle w:val="ListParagraph"/>
        <w:numPr>
          <w:ilvl w:val="0"/>
          <w:numId w:val="33"/>
        </w:numPr>
        <w:spacing w:after="0" w:line="240" w:lineRule="auto"/>
        <w:contextualSpacing w:val="0"/>
        <w:jc w:val="both"/>
        <w:rPr>
          <w:rFonts w:ascii="Times New Roman" w:eastAsia="Times New Roman" w:hAnsi="Times New Roman"/>
          <w:sz w:val="24"/>
          <w:szCs w:val="24"/>
          <w:lang w:eastAsia="lv-LV"/>
        </w:rPr>
      </w:pPr>
      <w:r w:rsidRPr="00F8234E">
        <w:rPr>
          <w:rFonts w:ascii="Times New Roman" w:eastAsia="Times New Roman" w:hAnsi="Times New Roman"/>
          <w:sz w:val="24"/>
          <w:szCs w:val="24"/>
          <w:lang w:eastAsia="lv-LV"/>
        </w:rPr>
        <w:lastRenderedPageBreak/>
        <w:t>apgrozījums darījumiem ar Pievienotās vērtības nodokļa likuma 1.</w:t>
      </w:r>
      <w:r w:rsidR="005B760C">
        <w:rPr>
          <w:rFonts w:ascii="Times New Roman" w:eastAsia="Times New Roman" w:hAnsi="Times New Roman"/>
          <w:sz w:val="24"/>
          <w:szCs w:val="24"/>
          <w:lang w:eastAsia="lv-LV"/>
        </w:rPr>
        <w:t> </w:t>
      </w:r>
      <w:r w:rsidRPr="00F8234E">
        <w:rPr>
          <w:rFonts w:ascii="Times New Roman" w:eastAsia="Times New Roman" w:hAnsi="Times New Roman"/>
          <w:sz w:val="24"/>
          <w:szCs w:val="24"/>
          <w:lang w:eastAsia="lv-LV"/>
        </w:rPr>
        <w:t xml:space="preserve">pielikumā noteiktajiem svaigiem augļiem, ogām un dārzeņiem salīdzinājumā </w:t>
      </w:r>
      <w:r w:rsidR="005B760C">
        <w:rPr>
          <w:rFonts w:ascii="Times New Roman" w:eastAsia="Times New Roman" w:hAnsi="Times New Roman"/>
          <w:sz w:val="24"/>
          <w:szCs w:val="24"/>
          <w:lang w:eastAsia="lv-LV"/>
        </w:rPr>
        <w:t>ar</w:t>
      </w:r>
      <w:r w:rsidRPr="00F8234E">
        <w:rPr>
          <w:rFonts w:ascii="Times New Roman" w:eastAsia="Times New Roman" w:hAnsi="Times New Roman"/>
          <w:sz w:val="24"/>
          <w:szCs w:val="24"/>
          <w:lang w:eastAsia="lv-LV"/>
        </w:rPr>
        <w:t xml:space="preserve"> apgrozījumu kopējiem darījumiem (neieskaitot darījumus ar Pievienotās vērtības nodokļa likuma 1.</w:t>
      </w:r>
      <w:r w:rsidR="005B760C">
        <w:rPr>
          <w:rFonts w:ascii="Times New Roman" w:eastAsia="Times New Roman" w:hAnsi="Times New Roman"/>
          <w:sz w:val="24"/>
          <w:szCs w:val="24"/>
          <w:lang w:eastAsia="lv-LV"/>
        </w:rPr>
        <w:t> </w:t>
      </w:r>
      <w:r w:rsidRPr="00F8234E">
        <w:rPr>
          <w:rFonts w:ascii="Times New Roman" w:eastAsia="Times New Roman" w:hAnsi="Times New Roman"/>
          <w:sz w:val="24"/>
          <w:szCs w:val="24"/>
          <w:lang w:eastAsia="lv-LV"/>
        </w:rPr>
        <w:t xml:space="preserve">pielikumā noteiktajiem svaigiem augļiem, ogām un dārzeņiem) ir lielāks par </w:t>
      </w:r>
      <w:r w:rsidR="005B760C">
        <w:rPr>
          <w:rFonts w:ascii="Times New Roman" w:eastAsia="Times New Roman" w:hAnsi="Times New Roman"/>
          <w:sz w:val="24"/>
          <w:szCs w:val="24"/>
          <w:lang w:eastAsia="lv-LV"/>
        </w:rPr>
        <w:t>sešiem</w:t>
      </w:r>
      <w:r w:rsidRPr="00F8234E">
        <w:rPr>
          <w:rFonts w:ascii="Times New Roman" w:eastAsia="Times New Roman" w:hAnsi="Times New Roman"/>
          <w:sz w:val="24"/>
          <w:szCs w:val="24"/>
          <w:lang w:eastAsia="lv-LV"/>
        </w:rPr>
        <w:t xml:space="preserve"> procentpunktiem (ik gadu); </w:t>
      </w:r>
    </w:p>
    <w:p w14:paraId="5E6FCECD" w14:textId="01BD7FD5" w:rsidR="00DE7B44" w:rsidRDefault="00F8234E" w:rsidP="0037271C">
      <w:pPr>
        <w:pStyle w:val="ListParagraph"/>
        <w:numPr>
          <w:ilvl w:val="0"/>
          <w:numId w:val="33"/>
        </w:numPr>
        <w:spacing w:after="0" w:line="240" w:lineRule="auto"/>
        <w:contextualSpacing w:val="0"/>
        <w:jc w:val="both"/>
        <w:rPr>
          <w:rFonts w:ascii="Times New Roman" w:eastAsia="Times New Roman" w:hAnsi="Times New Roman"/>
          <w:sz w:val="24"/>
          <w:szCs w:val="24"/>
          <w:lang w:eastAsia="lv-LV"/>
        </w:rPr>
      </w:pPr>
      <w:r w:rsidRPr="00F8234E">
        <w:rPr>
          <w:rFonts w:ascii="Times New Roman" w:eastAsia="Times New Roman" w:hAnsi="Times New Roman"/>
          <w:sz w:val="24"/>
          <w:szCs w:val="24"/>
          <w:lang w:eastAsia="lv-LV"/>
        </w:rPr>
        <w:t xml:space="preserve">augļu, ogu un dārzeņu ražotāju </w:t>
      </w:r>
      <w:r w:rsidR="00DE7B44">
        <w:rPr>
          <w:rFonts w:ascii="Times New Roman" w:eastAsia="Times New Roman" w:hAnsi="Times New Roman"/>
          <w:sz w:val="24"/>
          <w:szCs w:val="24"/>
          <w:lang w:eastAsia="lv-LV"/>
        </w:rPr>
        <w:t>PVN</w:t>
      </w:r>
      <w:r w:rsidRPr="00F8234E">
        <w:rPr>
          <w:rFonts w:ascii="Times New Roman" w:eastAsia="Times New Roman" w:hAnsi="Times New Roman"/>
          <w:sz w:val="24"/>
          <w:szCs w:val="24"/>
          <w:lang w:eastAsia="lv-LV"/>
        </w:rPr>
        <w:t xml:space="preserve"> maksātāju vidējais atalgojums uz vienu nodarbināto ir lielāks par </w:t>
      </w:r>
      <w:r w:rsidR="005B760C">
        <w:rPr>
          <w:rFonts w:ascii="Times New Roman" w:eastAsia="Times New Roman" w:hAnsi="Times New Roman"/>
          <w:sz w:val="24"/>
          <w:szCs w:val="24"/>
          <w:lang w:eastAsia="lv-LV"/>
        </w:rPr>
        <w:t>sešiem</w:t>
      </w:r>
      <w:r w:rsidRPr="00F8234E">
        <w:rPr>
          <w:rFonts w:ascii="Times New Roman" w:eastAsia="Times New Roman" w:hAnsi="Times New Roman"/>
          <w:sz w:val="24"/>
          <w:szCs w:val="24"/>
          <w:lang w:eastAsia="lv-LV"/>
        </w:rPr>
        <w:t xml:space="preserve"> procentiem (ik gadu);</w:t>
      </w:r>
    </w:p>
    <w:p w14:paraId="6F7EC6C1" w14:textId="0530F543" w:rsidR="005E563B" w:rsidRDefault="00F8234E" w:rsidP="0037271C">
      <w:pPr>
        <w:pStyle w:val="ListParagraph"/>
        <w:numPr>
          <w:ilvl w:val="0"/>
          <w:numId w:val="33"/>
        </w:numPr>
        <w:spacing w:after="0" w:line="240" w:lineRule="auto"/>
        <w:contextualSpacing w:val="0"/>
        <w:jc w:val="both"/>
        <w:rPr>
          <w:rFonts w:ascii="Times New Roman" w:eastAsia="Times New Roman" w:hAnsi="Times New Roman"/>
          <w:sz w:val="24"/>
          <w:szCs w:val="24"/>
          <w:lang w:eastAsia="lv-LV"/>
        </w:rPr>
      </w:pPr>
      <w:r w:rsidRPr="00DE7B44">
        <w:rPr>
          <w:rFonts w:ascii="Times New Roman" w:eastAsia="Times New Roman" w:hAnsi="Times New Roman"/>
          <w:sz w:val="24"/>
          <w:szCs w:val="24"/>
          <w:lang w:eastAsia="lv-LV"/>
        </w:rPr>
        <w:t>ēnu ekonomika ir mazinājusies (ik gadu).</w:t>
      </w:r>
    </w:p>
    <w:p w14:paraId="423DBA18" w14:textId="74FED4A2" w:rsidR="00E02F87" w:rsidRPr="00CF4AB9" w:rsidRDefault="00EC6820" w:rsidP="007011E4">
      <w:pPr>
        <w:pStyle w:val="ListParagraph"/>
        <w:spacing w:after="360" w:line="240" w:lineRule="auto"/>
        <w:ind w:left="0" w:firstLine="714"/>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Izvirzītie rādītāji noteikti, lai sasniegtu noteiktu mērķi </w:t>
      </w:r>
      <w:r w:rsidR="005B760C">
        <w:rPr>
          <w:rFonts w:ascii="Times New Roman" w:eastAsia="Times New Roman" w:hAnsi="Times New Roman"/>
          <w:sz w:val="24"/>
          <w:szCs w:val="24"/>
          <w:lang w:eastAsia="lv-LV"/>
        </w:rPr>
        <w:t>–</w:t>
      </w:r>
      <w:r w:rsidR="007011E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veicināt</w:t>
      </w:r>
      <w:r w:rsidR="005B760C">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augļkopības un dārzeņkopības nozaru attīstību, mazināt</w:t>
      </w:r>
      <w:r w:rsidR="005B760C">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ēnu ekonomiku, palielināt</w:t>
      </w:r>
      <w:r w:rsidR="005B760C">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w:t>
      </w:r>
      <w:r w:rsidR="000E7A71">
        <w:rPr>
          <w:rFonts w:ascii="Times New Roman" w:eastAsia="Times New Roman" w:hAnsi="Times New Roman"/>
          <w:sz w:val="24"/>
          <w:szCs w:val="24"/>
          <w:lang w:eastAsia="lv-LV"/>
        </w:rPr>
        <w:t xml:space="preserve">konkurētspēju komersantiem, kas darbojas </w:t>
      </w:r>
      <w:r>
        <w:rPr>
          <w:rFonts w:ascii="Times New Roman" w:eastAsia="Times New Roman" w:hAnsi="Times New Roman"/>
          <w:sz w:val="24"/>
          <w:szCs w:val="24"/>
          <w:lang w:eastAsia="lv-LV"/>
        </w:rPr>
        <w:t>legālajā tirgū</w:t>
      </w:r>
      <w:r w:rsidR="007011E4">
        <w:rPr>
          <w:rFonts w:ascii="Times New Roman" w:eastAsia="Times New Roman" w:hAnsi="Times New Roman"/>
          <w:sz w:val="24"/>
          <w:szCs w:val="24"/>
          <w:lang w:eastAsia="lv-LV"/>
        </w:rPr>
        <w:t>, kā arī veicināt</w:t>
      </w:r>
      <w:r w:rsidR="005B760C">
        <w:rPr>
          <w:rFonts w:ascii="Times New Roman" w:eastAsia="Times New Roman" w:hAnsi="Times New Roman"/>
          <w:sz w:val="24"/>
          <w:szCs w:val="24"/>
          <w:lang w:eastAsia="lv-LV"/>
        </w:rPr>
        <w:t>u</w:t>
      </w:r>
      <w:r w:rsidR="007011E4">
        <w:rPr>
          <w:rFonts w:ascii="Times New Roman" w:eastAsia="Times New Roman" w:hAnsi="Times New Roman"/>
          <w:sz w:val="24"/>
          <w:szCs w:val="24"/>
          <w:lang w:eastAsia="lv-LV"/>
        </w:rPr>
        <w:t xml:space="preserve"> svaigu augļu, ogu un dārzeņu patēriņu.</w:t>
      </w:r>
    </w:p>
    <w:p w14:paraId="193E1715" w14:textId="682E0184" w:rsidR="005A2D12" w:rsidRDefault="005B760C" w:rsidP="002B16E5">
      <w:pPr>
        <w:pStyle w:val="ListParagraph"/>
        <w:numPr>
          <w:ilvl w:val="0"/>
          <w:numId w:val="1"/>
        </w:numPr>
        <w:tabs>
          <w:tab w:val="left" w:pos="1134"/>
        </w:tabs>
        <w:spacing w:after="120" w:line="240" w:lineRule="auto"/>
        <w:ind w:left="0" w:firstLine="709"/>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Pr="00CF4AB9">
        <w:rPr>
          <w:rFonts w:ascii="Times New Roman" w:eastAsia="Times New Roman" w:hAnsi="Times New Roman" w:cs="Times New Roman"/>
          <w:b/>
          <w:sz w:val="24"/>
          <w:szCs w:val="24"/>
        </w:rPr>
        <w:t xml:space="preserve">amazinātās </w:t>
      </w:r>
      <w:r w:rsidR="00DE0F41" w:rsidRPr="00CF4AB9">
        <w:rPr>
          <w:rFonts w:ascii="Times New Roman" w:eastAsia="Times New Roman" w:hAnsi="Times New Roman" w:cs="Times New Roman"/>
          <w:b/>
          <w:sz w:val="24"/>
          <w:szCs w:val="24"/>
        </w:rPr>
        <w:t>PVN likmes 5</w:t>
      </w:r>
      <w:r>
        <w:rPr>
          <w:rFonts w:ascii="Times New Roman" w:eastAsia="Times New Roman" w:hAnsi="Times New Roman" w:cs="Times New Roman"/>
          <w:b/>
          <w:sz w:val="24"/>
          <w:szCs w:val="24"/>
        </w:rPr>
        <w:t> </w:t>
      </w:r>
      <w:r w:rsidR="00DE0F41" w:rsidRPr="00CF4AB9">
        <w:rPr>
          <w:rFonts w:ascii="Times New Roman" w:eastAsia="Times New Roman" w:hAnsi="Times New Roman" w:cs="Times New Roman"/>
          <w:b/>
          <w:sz w:val="24"/>
          <w:szCs w:val="24"/>
        </w:rPr>
        <w:t>% apmērā svaigiem augļiem, ogām un dārzeņiem rezultatīvo rādītāju izpilde</w:t>
      </w:r>
    </w:p>
    <w:p w14:paraId="73763626" w14:textId="432DA0A7" w:rsidR="00B6401F" w:rsidRPr="00B6401F" w:rsidRDefault="00B6401F" w:rsidP="003D3F43">
      <w:pPr>
        <w:tabs>
          <w:tab w:val="left" w:pos="1134"/>
        </w:tabs>
        <w:spacing w:after="0" w:line="240" w:lineRule="auto"/>
        <w:ind w:firstLine="851"/>
        <w:jc w:val="both"/>
        <w:rPr>
          <w:rFonts w:ascii="Times New Roman" w:eastAsia="Times New Roman" w:hAnsi="Times New Roman" w:cs="Times New Roman"/>
          <w:sz w:val="24"/>
          <w:szCs w:val="24"/>
        </w:rPr>
      </w:pPr>
      <w:r w:rsidRPr="00B6401F">
        <w:rPr>
          <w:rFonts w:ascii="Times New Roman" w:eastAsia="Times New Roman" w:hAnsi="Times New Roman" w:cs="Times New Roman"/>
          <w:sz w:val="24"/>
          <w:szCs w:val="24"/>
        </w:rPr>
        <w:t>Lai objektīv</w:t>
      </w:r>
      <w:r w:rsidR="005B760C">
        <w:rPr>
          <w:rFonts w:ascii="Times New Roman" w:eastAsia="Times New Roman" w:hAnsi="Times New Roman" w:cs="Times New Roman"/>
          <w:sz w:val="24"/>
          <w:szCs w:val="24"/>
        </w:rPr>
        <w:t>i analizētu</w:t>
      </w:r>
      <w:r w:rsidRPr="00B6401F">
        <w:rPr>
          <w:rFonts w:ascii="Times New Roman" w:eastAsia="Times New Roman" w:hAnsi="Times New Roman" w:cs="Times New Roman"/>
          <w:sz w:val="24"/>
          <w:szCs w:val="24"/>
        </w:rPr>
        <w:t xml:space="preserve"> </w:t>
      </w:r>
      <w:r w:rsidR="003D3F43">
        <w:rPr>
          <w:rFonts w:ascii="Times New Roman" w:eastAsia="Times New Roman" w:hAnsi="Times New Roman" w:cs="Times New Roman"/>
          <w:sz w:val="24"/>
          <w:szCs w:val="24"/>
        </w:rPr>
        <w:t>rezultatīvo rādītāju izpild</w:t>
      </w:r>
      <w:r w:rsidR="005B760C">
        <w:rPr>
          <w:rFonts w:ascii="Times New Roman" w:eastAsia="Times New Roman" w:hAnsi="Times New Roman" w:cs="Times New Roman"/>
          <w:sz w:val="24"/>
          <w:szCs w:val="24"/>
        </w:rPr>
        <w:t>i</w:t>
      </w:r>
      <w:r w:rsidRPr="00B6401F">
        <w:rPr>
          <w:rFonts w:ascii="Times New Roman" w:eastAsia="Times New Roman" w:hAnsi="Times New Roman" w:cs="Times New Roman"/>
          <w:sz w:val="24"/>
          <w:szCs w:val="24"/>
        </w:rPr>
        <w:t xml:space="preserve"> par samazinātās </w:t>
      </w:r>
      <w:r w:rsidR="005B760C" w:rsidRPr="00B6401F">
        <w:rPr>
          <w:rFonts w:ascii="Times New Roman" w:eastAsia="Times New Roman" w:hAnsi="Times New Roman" w:cs="Times New Roman"/>
          <w:sz w:val="24"/>
          <w:szCs w:val="24"/>
        </w:rPr>
        <w:t xml:space="preserve">PVN </w:t>
      </w:r>
      <w:r w:rsidRPr="00B6401F">
        <w:rPr>
          <w:rFonts w:ascii="Times New Roman" w:eastAsia="Times New Roman" w:hAnsi="Times New Roman" w:cs="Times New Roman"/>
          <w:sz w:val="24"/>
          <w:szCs w:val="24"/>
        </w:rPr>
        <w:t>likmes 5</w:t>
      </w:r>
      <w:r w:rsidR="005B760C">
        <w:rPr>
          <w:rFonts w:ascii="Times New Roman" w:eastAsia="Times New Roman" w:hAnsi="Times New Roman" w:cs="Times New Roman"/>
          <w:sz w:val="24"/>
          <w:szCs w:val="24"/>
        </w:rPr>
        <w:t> </w:t>
      </w:r>
      <w:r w:rsidRPr="00B6401F">
        <w:rPr>
          <w:rFonts w:ascii="Times New Roman" w:eastAsia="Times New Roman" w:hAnsi="Times New Roman" w:cs="Times New Roman"/>
          <w:sz w:val="24"/>
          <w:szCs w:val="24"/>
        </w:rPr>
        <w:t xml:space="preserve">% apmērā ieviešanas </w:t>
      </w:r>
      <w:r w:rsidR="005B760C" w:rsidRPr="00B6401F">
        <w:rPr>
          <w:rFonts w:ascii="Times New Roman" w:eastAsia="Times New Roman" w:hAnsi="Times New Roman" w:cs="Times New Roman"/>
          <w:sz w:val="24"/>
          <w:szCs w:val="24"/>
        </w:rPr>
        <w:t xml:space="preserve">efektivitāti </w:t>
      </w:r>
      <w:r w:rsidRPr="00B6401F">
        <w:rPr>
          <w:rFonts w:ascii="Times New Roman" w:eastAsia="Times New Roman" w:hAnsi="Times New Roman" w:cs="Times New Roman"/>
          <w:sz w:val="24"/>
          <w:szCs w:val="24"/>
        </w:rPr>
        <w:t xml:space="preserve">svaigiem augļiem, ogām un dārzeņiem, Zemkopības ministrija, izmantojot Lauku atbalsta dienesta (turpmāk – LAD) informāciju, sagatavoja to personu sarakstu, kuras </w:t>
      </w:r>
      <w:r w:rsidRPr="00B6401F">
        <w:rPr>
          <w:rFonts w:ascii="Times New Roman" w:hAnsi="Times New Roman" w:cs="Times New Roman"/>
          <w:sz w:val="24"/>
          <w:szCs w:val="24"/>
          <w:shd w:val="clear" w:color="auto" w:fill="FFFFFF"/>
        </w:rPr>
        <w:t xml:space="preserve">savā īpašumā, pastāvīgajā lietošanā vai nomā esošajā lauksaimniecībā izmantojamā zemē audzē </w:t>
      </w:r>
      <w:r w:rsidRPr="00B6401F">
        <w:rPr>
          <w:rFonts w:ascii="Times New Roman" w:eastAsia="Times New Roman" w:hAnsi="Times New Roman" w:cs="Times New Roman"/>
          <w:sz w:val="24"/>
          <w:szCs w:val="24"/>
        </w:rPr>
        <w:t>tādus augļus, ogas un dārzeņus</w:t>
      </w:r>
      <w:r w:rsidR="000442DA">
        <w:rPr>
          <w:rFonts w:ascii="Times New Roman" w:eastAsia="Times New Roman" w:hAnsi="Times New Roman" w:cs="Times New Roman"/>
          <w:sz w:val="24"/>
          <w:szCs w:val="24"/>
        </w:rPr>
        <w:t xml:space="preserve">, </w:t>
      </w:r>
      <w:r w:rsidRPr="00B6401F">
        <w:rPr>
          <w:rFonts w:ascii="Times New Roman" w:eastAsia="Times New Roman" w:hAnsi="Times New Roman" w:cs="Times New Roman"/>
          <w:sz w:val="24"/>
          <w:szCs w:val="24"/>
        </w:rPr>
        <w:t xml:space="preserve">kam </w:t>
      </w:r>
      <w:r w:rsidR="000442DA">
        <w:rPr>
          <w:rFonts w:ascii="Times New Roman" w:eastAsia="Times New Roman" w:hAnsi="Times New Roman" w:cs="Times New Roman"/>
          <w:sz w:val="24"/>
          <w:szCs w:val="24"/>
        </w:rPr>
        <w:t xml:space="preserve">saskaņā ar Pievienotās vērtības nodokļa likumu ir </w:t>
      </w:r>
      <w:r w:rsidRPr="00B6401F">
        <w:rPr>
          <w:rFonts w:ascii="Times New Roman" w:eastAsia="Times New Roman" w:hAnsi="Times New Roman" w:cs="Times New Roman"/>
          <w:sz w:val="24"/>
          <w:szCs w:val="24"/>
        </w:rPr>
        <w:t>piemēro</w:t>
      </w:r>
      <w:r w:rsidR="000442DA">
        <w:rPr>
          <w:rFonts w:ascii="Times New Roman" w:eastAsia="Times New Roman" w:hAnsi="Times New Roman" w:cs="Times New Roman"/>
          <w:sz w:val="24"/>
          <w:szCs w:val="24"/>
        </w:rPr>
        <w:t>jama</w:t>
      </w:r>
      <w:r w:rsidRPr="00B6401F">
        <w:rPr>
          <w:rFonts w:ascii="Times New Roman" w:eastAsia="Times New Roman" w:hAnsi="Times New Roman" w:cs="Times New Roman"/>
          <w:sz w:val="24"/>
          <w:szCs w:val="24"/>
        </w:rPr>
        <w:t xml:space="preserve"> PVN samazināto likmi 5</w:t>
      </w:r>
      <w:r w:rsidR="005B760C">
        <w:rPr>
          <w:rFonts w:ascii="Times New Roman" w:eastAsia="Times New Roman" w:hAnsi="Times New Roman" w:cs="Times New Roman"/>
          <w:sz w:val="24"/>
          <w:szCs w:val="24"/>
        </w:rPr>
        <w:t xml:space="preserve"> </w:t>
      </w:r>
      <w:r w:rsidRPr="00B6401F">
        <w:rPr>
          <w:rFonts w:ascii="Times New Roman" w:eastAsia="Times New Roman" w:hAnsi="Times New Roman" w:cs="Times New Roman"/>
          <w:sz w:val="24"/>
          <w:szCs w:val="24"/>
        </w:rPr>
        <w:t xml:space="preserve">% apmērā, </w:t>
      </w:r>
      <w:r w:rsidRPr="00B6401F">
        <w:rPr>
          <w:rFonts w:ascii="Times New Roman" w:hAnsi="Times New Roman" w:cs="Times New Roman"/>
          <w:sz w:val="24"/>
          <w:szCs w:val="24"/>
          <w:shd w:val="clear" w:color="auto" w:fill="FFFFFF"/>
        </w:rPr>
        <w:t xml:space="preserve">un </w:t>
      </w:r>
      <w:r w:rsidRPr="00F73EB0">
        <w:rPr>
          <w:rFonts w:ascii="Times New Roman" w:hAnsi="Times New Roman" w:cs="Times New Roman"/>
          <w:sz w:val="24"/>
          <w:szCs w:val="24"/>
          <w:shd w:val="clear" w:color="auto" w:fill="FFFFFF"/>
        </w:rPr>
        <w:t>kuras 2022.</w:t>
      </w:r>
      <w:r w:rsidR="005B760C">
        <w:rPr>
          <w:rFonts w:ascii="Times New Roman" w:hAnsi="Times New Roman" w:cs="Times New Roman"/>
          <w:sz w:val="24"/>
          <w:szCs w:val="24"/>
          <w:shd w:val="clear" w:color="auto" w:fill="FFFFFF"/>
        </w:rPr>
        <w:t xml:space="preserve"> </w:t>
      </w:r>
      <w:r w:rsidRPr="00F73EB0">
        <w:rPr>
          <w:rFonts w:ascii="Times New Roman" w:hAnsi="Times New Roman" w:cs="Times New Roman"/>
          <w:sz w:val="24"/>
          <w:szCs w:val="24"/>
          <w:shd w:val="clear" w:color="auto" w:fill="FFFFFF"/>
        </w:rPr>
        <w:t>gadā ir pieteikušas šo zemi vienotajam platības maksājumam</w:t>
      </w:r>
      <w:r w:rsidRPr="00B6401F">
        <w:rPr>
          <w:rFonts w:ascii="Times New Roman" w:hAnsi="Times New Roman" w:cs="Times New Roman"/>
          <w:sz w:val="24"/>
          <w:szCs w:val="24"/>
          <w:shd w:val="clear" w:color="auto" w:fill="FFFFFF"/>
        </w:rPr>
        <w:t xml:space="preserve"> saskaņā ar normatīvajiem aktiem par tiešo maksājumu piešķiršanas kārtību lauksaimniekiem.</w:t>
      </w:r>
      <w:r w:rsidRPr="00B6401F">
        <w:rPr>
          <w:rFonts w:ascii="Times New Roman" w:eastAsia="Times New Roman" w:hAnsi="Times New Roman" w:cs="Times New Roman"/>
          <w:sz w:val="24"/>
          <w:szCs w:val="24"/>
        </w:rPr>
        <w:t xml:space="preserve"> Analīzes sagatavošanai izmantota Valsts ieņēmumu dienesta (turpmāk – VID) sniegtā informācija, kuras pamatā ir Zemkopības ministrijas sagatavoto personu saraksts. Papildus tam analīzē atspoguļoti arī dati par PVN maksātājiem, kuru pamatdarbības veids ir augkopība un lopkopība, medniecība un saistītas palīgdarbības (</w:t>
      </w:r>
      <w:r w:rsidRPr="005E573B">
        <w:rPr>
          <w:rFonts w:ascii="Times New Roman" w:eastAsia="Times New Roman" w:hAnsi="Times New Roman" w:cs="Times New Roman"/>
          <w:i/>
          <w:sz w:val="24"/>
          <w:szCs w:val="24"/>
        </w:rPr>
        <w:t>NACE</w:t>
      </w:r>
      <w:r w:rsidRPr="00B6401F">
        <w:rPr>
          <w:rFonts w:ascii="Times New Roman" w:eastAsia="Times New Roman" w:hAnsi="Times New Roman" w:cs="Times New Roman"/>
          <w:sz w:val="24"/>
          <w:szCs w:val="24"/>
        </w:rPr>
        <w:t xml:space="preserve"> 2.</w:t>
      </w:r>
      <w:r w:rsidR="005B760C">
        <w:rPr>
          <w:rFonts w:ascii="Times New Roman" w:eastAsia="Times New Roman" w:hAnsi="Times New Roman" w:cs="Times New Roman"/>
          <w:sz w:val="24"/>
          <w:szCs w:val="24"/>
        </w:rPr>
        <w:t> </w:t>
      </w:r>
      <w:r w:rsidRPr="00B6401F">
        <w:rPr>
          <w:rFonts w:ascii="Times New Roman" w:eastAsia="Times New Roman" w:hAnsi="Times New Roman" w:cs="Times New Roman"/>
          <w:sz w:val="24"/>
          <w:szCs w:val="24"/>
        </w:rPr>
        <w:t>redakcijas apkopojošais kods 01)</w:t>
      </w:r>
      <w:r>
        <w:rPr>
          <w:rFonts w:ascii="Times New Roman" w:eastAsia="Times New Roman" w:hAnsi="Times New Roman" w:cs="Times New Roman"/>
          <w:sz w:val="24"/>
          <w:szCs w:val="24"/>
        </w:rPr>
        <w:t xml:space="preserve">, kā arī par </w:t>
      </w:r>
      <w:r w:rsidR="003D3F43">
        <w:rPr>
          <w:rFonts w:ascii="Times New Roman" w:eastAsia="Times New Roman" w:hAnsi="Times New Roman" w:cs="Times New Roman"/>
          <w:sz w:val="24"/>
          <w:szCs w:val="24"/>
        </w:rPr>
        <w:t xml:space="preserve">visiem PVN maksātājiem </w:t>
      </w:r>
      <w:r w:rsidR="005B760C">
        <w:rPr>
          <w:rFonts w:ascii="Times New Roman" w:eastAsia="Times New Roman" w:hAnsi="Times New Roman" w:cs="Times New Roman"/>
          <w:sz w:val="24"/>
          <w:szCs w:val="24"/>
        </w:rPr>
        <w:t xml:space="preserve">Latvijā </w:t>
      </w:r>
      <w:r w:rsidR="003D3F43">
        <w:rPr>
          <w:rFonts w:ascii="Times New Roman" w:eastAsia="Times New Roman" w:hAnsi="Times New Roman" w:cs="Times New Roman"/>
          <w:sz w:val="24"/>
          <w:szCs w:val="24"/>
        </w:rPr>
        <w:t>kopumā.</w:t>
      </w:r>
    </w:p>
    <w:p w14:paraId="55138221" w14:textId="49B75DC3" w:rsidR="00FC08F7" w:rsidRDefault="003D3F43" w:rsidP="00FC08F7">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Rezultatīvo rādītāju izpildes a</w:t>
      </w:r>
      <w:r w:rsidR="00B6401F" w:rsidRPr="00B6401F">
        <w:rPr>
          <w:rFonts w:ascii="Times New Roman" w:eastAsia="Times New Roman" w:hAnsi="Times New Roman" w:cs="Times New Roman"/>
          <w:sz w:val="24"/>
          <w:szCs w:val="24"/>
        </w:rPr>
        <w:t xml:space="preserve">nalīzē izmantoti arī dati </w:t>
      </w:r>
      <w:r w:rsidR="005B760C">
        <w:rPr>
          <w:rFonts w:ascii="Times New Roman" w:eastAsia="Times New Roman" w:hAnsi="Times New Roman" w:cs="Times New Roman"/>
          <w:sz w:val="24"/>
          <w:szCs w:val="24"/>
        </w:rPr>
        <w:t>no</w:t>
      </w:r>
      <w:r w:rsidR="00B6401F" w:rsidRPr="00B6401F">
        <w:rPr>
          <w:rFonts w:ascii="Times New Roman" w:eastAsia="Times New Roman" w:hAnsi="Times New Roman" w:cs="Times New Roman"/>
          <w:sz w:val="24"/>
          <w:szCs w:val="24"/>
        </w:rPr>
        <w:t xml:space="preserve"> </w:t>
      </w:r>
      <w:r w:rsidR="00B6401F" w:rsidRPr="00786633">
        <w:rPr>
          <w:rFonts w:ascii="Times New Roman" w:eastAsia="Times New Roman" w:hAnsi="Times New Roman" w:cs="Times New Roman"/>
          <w:i/>
          <w:sz w:val="24"/>
          <w:szCs w:val="24"/>
        </w:rPr>
        <w:t>Eurostat</w:t>
      </w:r>
      <w:r w:rsidR="005B760C">
        <w:rPr>
          <w:rFonts w:ascii="Times New Roman" w:eastAsia="Times New Roman" w:hAnsi="Times New Roman" w:cs="Times New Roman"/>
          <w:sz w:val="24"/>
          <w:szCs w:val="24"/>
        </w:rPr>
        <w:t>,</w:t>
      </w:r>
      <w:r w:rsidR="00B6401F" w:rsidRPr="00B6401F">
        <w:rPr>
          <w:rFonts w:ascii="Times New Roman" w:eastAsia="Times New Roman" w:hAnsi="Times New Roman" w:cs="Times New Roman"/>
          <w:sz w:val="24"/>
          <w:szCs w:val="24"/>
        </w:rPr>
        <w:t xml:space="preserve"> LAD un </w:t>
      </w:r>
      <w:proofErr w:type="spellStart"/>
      <w:r w:rsidR="00B6401F" w:rsidRPr="00B6401F">
        <w:rPr>
          <w:rFonts w:ascii="Times New Roman" w:eastAsia="Times New Roman" w:hAnsi="Times New Roman" w:cs="Times New Roman"/>
          <w:sz w:val="24"/>
          <w:szCs w:val="24"/>
        </w:rPr>
        <w:t>Ag</w:t>
      </w:r>
      <w:r>
        <w:rPr>
          <w:rFonts w:ascii="Times New Roman" w:eastAsia="Times New Roman" w:hAnsi="Times New Roman" w:cs="Times New Roman"/>
          <w:sz w:val="24"/>
          <w:szCs w:val="24"/>
        </w:rPr>
        <w:t>r</w:t>
      </w:r>
      <w:r w:rsidR="00B6401F" w:rsidRPr="00B6401F">
        <w:rPr>
          <w:rFonts w:ascii="Times New Roman" w:eastAsia="Times New Roman" w:hAnsi="Times New Roman" w:cs="Times New Roman"/>
          <w:sz w:val="24"/>
          <w:szCs w:val="24"/>
        </w:rPr>
        <w:t>oresursu</w:t>
      </w:r>
      <w:proofErr w:type="spellEnd"/>
      <w:r w:rsidR="00B6401F" w:rsidRPr="00B6401F">
        <w:rPr>
          <w:rFonts w:ascii="Times New Roman" w:eastAsia="Times New Roman" w:hAnsi="Times New Roman" w:cs="Times New Roman"/>
          <w:sz w:val="24"/>
          <w:szCs w:val="24"/>
        </w:rPr>
        <w:t xml:space="preserve"> ekonomikas institūta</w:t>
      </w:r>
      <w:r w:rsidR="008C0243">
        <w:rPr>
          <w:rFonts w:ascii="Times New Roman" w:eastAsia="Times New Roman" w:hAnsi="Times New Roman" w:cs="Times New Roman"/>
          <w:sz w:val="24"/>
          <w:szCs w:val="24"/>
        </w:rPr>
        <w:t>.</w:t>
      </w:r>
    </w:p>
    <w:p w14:paraId="36F4F893" w14:textId="651BEEE0" w:rsidR="00FC08F7" w:rsidRDefault="00FC08F7" w:rsidP="00FC08F7">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Vērtējot samazinātās </w:t>
      </w:r>
      <w:r w:rsidR="005B760C">
        <w:rPr>
          <w:rFonts w:ascii="Times New Roman" w:eastAsia="Times New Roman" w:hAnsi="Times New Roman" w:cs="Times New Roman"/>
          <w:bCs/>
          <w:sz w:val="24"/>
          <w:szCs w:val="24"/>
        </w:rPr>
        <w:t xml:space="preserve">PVN likmes </w:t>
      </w:r>
      <w:r w:rsidR="00255F9B">
        <w:rPr>
          <w:rFonts w:ascii="Times New Roman" w:eastAsia="Times New Roman" w:hAnsi="Times New Roman" w:cs="Times New Roman"/>
          <w:bCs/>
          <w:sz w:val="24"/>
          <w:szCs w:val="24"/>
        </w:rPr>
        <w:t xml:space="preserve">5% apmērā </w:t>
      </w:r>
      <w:r>
        <w:rPr>
          <w:rFonts w:ascii="Times New Roman" w:eastAsia="Times New Roman" w:hAnsi="Times New Roman" w:cs="Times New Roman"/>
          <w:bCs/>
          <w:sz w:val="24"/>
          <w:szCs w:val="24"/>
        </w:rPr>
        <w:t>efektivitāti</w:t>
      </w:r>
      <w:r w:rsidR="00A60428">
        <w:rPr>
          <w:rFonts w:ascii="Times New Roman" w:eastAsia="Times New Roman" w:hAnsi="Times New Roman" w:cs="Times New Roman"/>
          <w:bCs/>
          <w:sz w:val="24"/>
          <w:szCs w:val="24"/>
        </w:rPr>
        <w:t>, augļkopības un dārzeņkopības nozares attīstību</w:t>
      </w:r>
      <w:r>
        <w:rPr>
          <w:rFonts w:ascii="Times New Roman" w:eastAsia="Times New Roman" w:hAnsi="Times New Roman" w:cs="Times New Roman"/>
          <w:bCs/>
          <w:sz w:val="24"/>
          <w:szCs w:val="24"/>
        </w:rPr>
        <w:t xml:space="preserve"> un rezultatīvo rādītāju izpildi, </w:t>
      </w:r>
      <w:r w:rsidR="005B760C">
        <w:rPr>
          <w:rFonts w:ascii="Times New Roman" w:eastAsia="Times New Roman" w:hAnsi="Times New Roman" w:cs="Times New Roman"/>
          <w:bCs/>
          <w:sz w:val="24"/>
          <w:szCs w:val="24"/>
        </w:rPr>
        <w:t>svarīg</w:t>
      </w:r>
      <w:r>
        <w:rPr>
          <w:rFonts w:ascii="Times New Roman" w:eastAsia="Times New Roman" w:hAnsi="Times New Roman" w:cs="Times New Roman"/>
          <w:bCs/>
          <w:sz w:val="24"/>
          <w:szCs w:val="24"/>
        </w:rPr>
        <w:t xml:space="preserve">i ir </w:t>
      </w:r>
      <w:r w:rsidR="005B760C">
        <w:rPr>
          <w:rFonts w:ascii="Times New Roman" w:eastAsia="Times New Roman" w:hAnsi="Times New Roman" w:cs="Times New Roman"/>
          <w:bCs/>
          <w:sz w:val="24"/>
          <w:szCs w:val="24"/>
        </w:rPr>
        <w:t>piebils</w:t>
      </w:r>
      <w:r>
        <w:rPr>
          <w:rFonts w:ascii="Times New Roman" w:eastAsia="Times New Roman" w:hAnsi="Times New Roman" w:cs="Times New Roman"/>
          <w:bCs/>
          <w:sz w:val="24"/>
          <w:szCs w:val="24"/>
        </w:rPr>
        <w:t xml:space="preserve">t, ka </w:t>
      </w:r>
      <w:r w:rsidRPr="00C23524">
        <w:rPr>
          <w:rFonts w:ascii="Times New Roman" w:eastAsia="Times New Roman" w:hAnsi="Times New Roman" w:cs="Times New Roman"/>
          <w:bCs/>
          <w:sz w:val="24"/>
          <w:szCs w:val="24"/>
        </w:rPr>
        <w:t>2020.</w:t>
      </w:r>
      <w:r w:rsidR="005B760C">
        <w:rPr>
          <w:rFonts w:ascii="Times New Roman" w:eastAsia="Times New Roman" w:hAnsi="Times New Roman" w:cs="Times New Roman"/>
          <w:bCs/>
          <w:sz w:val="24"/>
          <w:szCs w:val="24"/>
        </w:rPr>
        <w:t xml:space="preserve"> </w:t>
      </w:r>
      <w:r w:rsidRPr="00C23524">
        <w:rPr>
          <w:rFonts w:ascii="Times New Roman" w:eastAsia="Times New Roman" w:hAnsi="Times New Roman" w:cs="Times New Roman"/>
          <w:bCs/>
          <w:sz w:val="24"/>
          <w:szCs w:val="24"/>
        </w:rPr>
        <w:t xml:space="preserve">gadā </w:t>
      </w:r>
      <w:r w:rsidR="00212AD0">
        <w:rPr>
          <w:rFonts w:ascii="Times New Roman" w:eastAsia="Times New Roman" w:hAnsi="Times New Roman" w:cs="Times New Roman"/>
          <w:bCs/>
          <w:sz w:val="24"/>
          <w:szCs w:val="24"/>
        </w:rPr>
        <w:t xml:space="preserve">un 2021.gadā </w:t>
      </w:r>
      <w:r w:rsidRPr="00C23524">
        <w:rPr>
          <w:rFonts w:ascii="Times New Roman" w:eastAsia="Times New Roman" w:hAnsi="Times New Roman" w:cs="Times New Roman"/>
          <w:bCs/>
          <w:sz w:val="24"/>
          <w:szCs w:val="24"/>
        </w:rPr>
        <w:t>visu pasauli</w:t>
      </w:r>
      <w:r w:rsidR="005B760C">
        <w:rPr>
          <w:rFonts w:ascii="Times New Roman" w:eastAsia="Times New Roman" w:hAnsi="Times New Roman" w:cs="Times New Roman"/>
          <w:bCs/>
          <w:sz w:val="24"/>
          <w:szCs w:val="24"/>
        </w:rPr>
        <w:t>,</w:t>
      </w:r>
      <w:r w:rsidRPr="00C23524">
        <w:rPr>
          <w:rFonts w:ascii="Times New Roman" w:eastAsia="Times New Roman" w:hAnsi="Times New Roman" w:cs="Times New Roman"/>
          <w:bCs/>
          <w:sz w:val="24"/>
          <w:szCs w:val="24"/>
        </w:rPr>
        <w:t xml:space="preserve"> tostarp Latviju</w:t>
      </w:r>
      <w:r w:rsidR="005B760C">
        <w:rPr>
          <w:rFonts w:ascii="Times New Roman" w:eastAsia="Times New Roman" w:hAnsi="Times New Roman" w:cs="Times New Roman"/>
          <w:bCs/>
          <w:sz w:val="24"/>
          <w:szCs w:val="24"/>
        </w:rPr>
        <w:t>,</w:t>
      </w:r>
      <w:r w:rsidRPr="00C23524">
        <w:rPr>
          <w:rFonts w:ascii="Times New Roman" w:eastAsia="Times New Roman" w:hAnsi="Times New Roman" w:cs="Times New Roman"/>
          <w:bCs/>
          <w:sz w:val="24"/>
          <w:szCs w:val="24"/>
        </w:rPr>
        <w:t xml:space="preserve"> skāra </w:t>
      </w:r>
      <w:proofErr w:type="spellStart"/>
      <w:r w:rsidRPr="00C23524">
        <w:rPr>
          <w:rFonts w:ascii="Times New Roman" w:eastAsia="Times New Roman" w:hAnsi="Times New Roman" w:cs="Times New Roman"/>
          <w:bCs/>
          <w:sz w:val="24"/>
          <w:szCs w:val="24"/>
        </w:rPr>
        <w:t>Covid-19</w:t>
      </w:r>
      <w:proofErr w:type="spellEnd"/>
      <w:r w:rsidRPr="00C23524">
        <w:rPr>
          <w:rFonts w:ascii="Times New Roman" w:eastAsia="Times New Roman" w:hAnsi="Times New Roman" w:cs="Times New Roman"/>
          <w:bCs/>
          <w:sz w:val="24"/>
          <w:szCs w:val="24"/>
        </w:rPr>
        <w:t xml:space="preserve"> pandēmija, kuras </w:t>
      </w:r>
      <w:r w:rsidR="005B760C">
        <w:rPr>
          <w:rFonts w:ascii="Times New Roman" w:eastAsia="Times New Roman" w:hAnsi="Times New Roman" w:cs="Times New Roman"/>
          <w:bCs/>
          <w:sz w:val="24"/>
          <w:szCs w:val="24"/>
        </w:rPr>
        <w:t>dēļ</w:t>
      </w:r>
      <w:r w:rsidR="005B760C" w:rsidRPr="00C23524">
        <w:rPr>
          <w:rFonts w:ascii="Times New Roman" w:eastAsia="Times New Roman" w:hAnsi="Times New Roman" w:cs="Times New Roman"/>
          <w:bCs/>
          <w:sz w:val="24"/>
          <w:szCs w:val="24"/>
        </w:rPr>
        <w:t xml:space="preserve"> </w:t>
      </w:r>
      <w:r w:rsidR="00D02745">
        <w:rPr>
          <w:rFonts w:ascii="Times New Roman" w:eastAsia="Times New Roman" w:hAnsi="Times New Roman" w:cs="Times New Roman"/>
          <w:bCs/>
          <w:sz w:val="24"/>
          <w:szCs w:val="24"/>
        </w:rPr>
        <w:t xml:space="preserve">Latvijā laikā no </w:t>
      </w:r>
      <w:r w:rsidR="00D02745" w:rsidRPr="00C23524">
        <w:rPr>
          <w:rFonts w:ascii="Times New Roman" w:eastAsia="Times New Roman" w:hAnsi="Times New Roman" w:cs="Times New Roman"/>
          <w:bCs/>
          <w:sz w:val="24"/>
          <w:szCs w:val="24"/>
        </w:rPr>
        <w:t>2020. gada 12. mart</w:t>
      </w:r>
      <w:r w:rsidR="00D02745">
        <w:rPr>
          <w:rFonts w:ascii="Times New Roman" w:eastAsia="Times New Roman" w:hAnsi="Times New Roman" w:cs="Times New Roman"/>
          <w:bCs/>
          <w:sz w:val="24"/>
          <w:szCs w:val="24"/>
        </w:rPr>
        <w:t>a līdz 2021. gada 9. jūnijam un no 2021. gada 11. oktobra līdz 2022. gada 28. februārim</w:t>
      </w:r>
      <w:r w:rsidR="00D02745" w:rsidRPr="00C23524" w:rsidDel="00D02745">
        <w:rPr>
          <w:rFonts w:ascii="Times New Roman" w:eastAsia="Times New Roman" w:hAnsi="Times New Roman" w:cs="Times New Roman"/>
          <w:bCs/>
          <w:sz w:val="24"/>
          <w:szCs w:val="24"/>
        </w:rPr>
        <w:t xml:space="preserve"> </w:t>
      </w:r>
      <w:r w:rsidR="005B760C">
        <w:rPr>
          <w:rFonts w:ascii="Times New Roman" w:eastAsia="Times New Roman" w:hAnsi="Times New Roman" w:cs="Times New Roman"/>
          <w:bCs/>
          <w:sz w:val="24"/>
          <w:szCs w:val="24"/>
        </w:rPr>
        <w:t xml:space="preserve">tika </w:t>
      </w:r>
      <w:r w:rsidRPr="00C23524">
        <w:rPr>
          <w:rFonts w:ascii="Times New Roman" w:eastAsia="Times New Roman" w:hAnsi="Times New Roman" w:cs="Times New Roman"/>
          <w:bCs/>
          <w:sz w:val="24"/>
          <w:szCs w:val="24"/>
        </w:rPr>
        <w:t>izsludinā</w:t>
      </w:r>
      <w:r w:rsidR="005B760C">
        <w:rPr>
          <w:rFonts w:ascii="Times New Roman" w:eastAsia="Times New Roman" w:hAnsi="Times New Roman" w:cs="Times New Roman"/>
          <w:bCs/>
          <w:sz w:val="24"/>
          <w:szCs w:val="24"/>
        </w:rPr>
        <w:t>ta</w:t>
      </w:r>
      <w:r w:rsidRPr="00C23524">
        <w:rPr>
          <w:rFonts w:ascii="Times New Roman" w:eastAsia="Times New Roman" w:hAnsi="Times New Roman" w:cs="Times New Roman"/>
          <w:bCs/>
          <w:sz w:val="24"/>
          <w:szCs w:val="24"/>
        </w:rPr>
        <w:t xml:space="preserve"> ārkārt</w:t>
      </w:r>
      <w:r w:rsidR="005B760C">
        <w:rPr>
          <w:rFonts w:ascii="Times New Roman" w:eastAsia="Times New Roman" w:hAnsi="Times New Roman" w:cs="Times New Roman"/>
          <w:bCs/>
          <w:sz w:val="24"/>
          <w:szCs w:val="24"/>
        </w:rPr>
        <w:t>ējā</w:t>
      </w:r>
      <w:r w:rsidRPr="00C23524">
        <w:rPr>
          <w:rFonts w:ascii="Times New Roman" w:eastAsia="Times New Roman" w:hAnsi="Times New Roman" w:cs="Times New Roman"/>
          <w:bCs/>
          <w:sz w:val="24"/>
          <w:szCs w:val="24"/>
        </w:rPr>
        <w:t xml:space="preserve"> situācija saistībā ar Covid-19 izplatību, savukārt vairākās citās pasaules valstīs dažādi ierobežojoši pasākumi tika ieviesti jau agrāk. </w:t>
      </w:r>
      <w:r>
        <w:rPr>
          <w:rFonts w:ascii="Times New Roman" w:eastAsia="Times New Roman" w:hAnsi="Times New Roman" w:cs="Times New Roman"/>
          <w:bCs/>
          <w:sz w:val="24"/>
          <w:szCs w:val="24"/>
        </w:rPr>
        <w:t>Turklāt arī 2021.</w:t>
      </w:r>
      <w:r w:rsidR="005B760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gadā turpinājās ar </w:t>
      </w:r>
      <w:proofErr w:type="spellStart"/>
      <w:r>
        <w:rPr>
          <w:rFonts w:ascii="Times New Roman" w:eastAsia="Times New Roman" w:hAnsi="Times New Roman" w:cs="Times New Roman"/>
          <w:bCs/>
          <w:sz w:val="24"/>
          <w:szCs w:val="24"/>
        </w:rPr>
        <w:t>Covid-19</w:t>
      </w:r>
      <w:proofErr w:type="spellEnd"/>
      <w:r>
        <w:rPr>
          <w:rFonts w:ascii="Times New Roman" w:eastAsia="Times New Roman" w:hAnsi="Times New Roman" w:cs="Times New Roman"/>
          <w:bCs/>
          <w:sz w:val="24"/>
          <w:szCs w:val="24"/>
        </w:rPr>
        <w:t xml:space="preserve"> pandēmijas ierobežojum</w:t>
      </w:r>
      <w:r w:rsidR="005B760C">
        <w:rPr>
          <w:rFonts w:ascii="Times New Roman" w:eastAsia="Times New Roman" w:hAnsi="Times New Roman" w:cs="Times New Roman"/>
          <w:bCs/>
          <w:sz w:val="24"/>
          <w:szCs w:val="24"/>
        </w:rPr>
        <w:t>iem</w:t>
      </w:r>
      <w:r>
        <w:rPr>
          <w:rFonts w:ascii="Times New Roman" w:eastAsia="Times New Roman" w:hAnsi="Times New Roman" w:cs="Times New Roman"/>
          <w:bCs/>
          <w:sz w:val="24"/>
          <w:szCs w:val="24"/>
        </w:rPr>
        <w:t xml:space="preserve"> saistīti</w:t>
      </w:r>
      <w:r w:rsidR="005B760C">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 iedzīvotāju pārvietošanās un tirdzniecības ierobežojumi. P</w:t>
      </w:r>
      <w:r w:rsidRPr="00DB4887">
        <w:rPr>
          <w:rFonts w:ascii="Times New Roman" w:eastAsia="Times New Roman" w:hAnsi="Times New Roman" w:cs="Times New Roman"/>
          <w:bCs/>
          <w:sz w:val="24"/>
          <w:szCs w:val="24"/>
        </w:rPr>
        <w:t>atēriņa reakcija uz Covid-19 pandēmiju dažādās nozarēs bija ļoti atšķirīga</w:t>
      </w:r>
      <w:r w:rsidR="005B760C">
        <w:rPr>
          <w:rFonts w:ascii="Times New Roman" w:eastAsia="Times New Roman" w:hAnsi="Times New Roman" w:cs="Times New Roman"/>
          <w:bCs/>
          <w:sz w:val="24"/>
          <w:szCs w:val="24"/>
        </w:rPr>
        <w:t>,</w:t>
      </w:r>
      <w:r w:rsidRPr="00DB4887">
        <w:rPr>
          <w:rFonts w:ascii="Times New Roman" w:eastAsia="Times New Roman" w:hAnsi="Times New Roman" w:cs="Times New Roman"/>
          <w:bCs/>
          <w:sz w:val="24"/>
          <w:szCs w:val="24"/>
        </w:rPr>
        <w:t xml:space="preserve"> un šī situācija nebija viendabīga</w:t>
      </w:r>
      <w:r>
        <w:rPr>
          <w:rFonts w:ascii="Times New Roman" w:eastAsia="Times New Roman" w:hAnsi="Times New Roman" w:cs="Times New Roman"/>
          <w:bCs/>
          <w:sz w:val="24"/>
          <w:szCs w:val="24"/>
        </w:rPr>
        <w:t>.</w:t>
      </w:r>
    </w:p>
    <w:p w14:paraId="0E8B0E10" w14:textId="769BC6C3" w:rsidR="00AE53BD" w:rsidRDefault="001A61FA" w:rsidP="00AE53BD">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 </w:t>
      </w:r>
      <w:proofErr w:type="spellStart"/>
      <w:r>
        <w:rPr>
          <w:rFonts w:ascii="Times New Roman" w:eastAsia="Times New Roman" w:hAnsi="Times New Roman" w:cs="Times New Roman"/>
          <w:bCs/>
          <w:sz w:val="24"/>
          <w:szCs w:val="24"/>
        </w:rPr>
        <w:t>Covid-19</w:t>
      </w:r>
      <w:proofErr w:type="spellEnd"/>
      <w:r>
        <w:rPr>
          <w:rFonts w:ascii="Times New Roman" w:eastAsia="Times New Roman" w:hAnsi="Times New Roman" w:cs="Times New Roman"/>
          <w:bCs/>
          <w:sz w:val="24"/>
          <w:szCs w:val="24"/>
        </w:rPr>
        <w:t xml:space="preserve"> pandēmijas izplatības ierobežošanu saistīto pasākumu ietekmē lauksaimniecības un pārtikas uzņēmēji, tostarp augļkopības un dārzeņkopības uzņēmēji sastapās ar noieta tirgus samazināšanos, izejvielu sagādes grūtībām, produkcijas realizācijas grūtībām un gatavās produkcijas krājumu pieaugumu, jo:</w:t>
      </w:r>
    </w:p>
    <w:p w14:paraId="2AD650E2" w14:textId="3CC6AD2E" w:rsidR="00FC08F7" w:rsidRPr="00AB2472" w:rsidRDefault="00FC08F7" w:rsidP="00FC08F7">
      <w:pPr>
        <w:pStyle w:val="ListParagraph"/>
        <w:numPr>
          <w:ilvl w:val="0"/>
          <w:numId w:val="21"/>
        </w:numPr>
        <w:spacing w:after="0" w:line="240" w:lineRule="auto"/>
        <w:ind w:left="391" w:hanging="283"/>
        <w:contextualSpacing w:val="0"/>
        <w:jc w:val="both"/>
        <w:rPr>
          <w:rFonts w:ascii="Times New Roman" w:eastAsia="Times New Roman" w:hAnsi="Times New Roman" w:cs="Times New Roman"/>
          <w:iCs/>
          <w:sz w:val="24"/>
          <w:szCs w:val="24"/>
          <w:lang w:eastAsia="lv-LV"/>
        </w:rPr>
      </w:pPr>
      <w:r w:rsidRPr="00AB2472">
        <w:rPr>
          <w:rFonts w:ascii="Times New Roman" w:eastAsia="Times New Roman" w:hAnsi="Times New Roman" w:cs="Times New Roman"/>
          <w:iCs/>
          <w:sz w:val="24"/>
          <w:szCs w:val="24"/>
          <w:lang w:eastAsia="lv-LV"/>
        </w:rPr>
        <w:t>apgrūtināti kravu pārvadājumi</w:t>
      </w:r>
      <w:r w:rsidR="005B760C">
        <w:rPr>
          <w:rFonts w:ascii="Times New Roman" w:eastAsia="Times New Roman" w:hAnsi="Times New Roman" w:cs="Times New Roman"/>
          <w:iCs/>
          <w:sz w:val="24"/>
          <w:szCs w:val="24"/>
          <w:lang w:eastAsia="lv-LV"/>
        </w:rPr>
        <w:t xml:space="preserve"> un</w:t>
      </w:r>
      <w:r w:rsidRPr="00AB247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saņemtie</w:t>
      </w:r>
      <w:r w:rsidRPr="00AB2472">
        <w:rPr>
          <w:rFonts w:ascii="Times New Roman" w:eastAsia="Times New Roman" w:hAnsi="Times New Roman" w:cs="Times New Roman"/>
          <w:iCs/>
          <w:sz w:val="24"/>
          <w:szCs w:val="24"/>
          <w:lang w:eastAsia="lv-LV"/>
        </w:rPr>
        <w:t xml:space="preserve"> tirdzniecības partneru sadarbības atteikumi nozīmē</w:t>
      </w:r>
      <w:r>
        <w:rPr>
          <w:rFonts w:ascii="Times New Roman" w:eastAsia="Times New Roman" w:hAnsi="Times New Roman" w:cs="Times New Roman"/>
          <w:iCs/>
          <w:sz w:val="24"/>
          <w:szCs w:val="24"/>
          <w:lang w:eastAsia="lv-LV"/>
        </w:rPr>
        <w:t>ja</w:t>
      </w:r>
      <w:r w:rsidRPr="00AB2472">
        <w:rPr>
          <w:rFonts w:ascii="Times New Roman" w:eastAsia="Times New Roman" w:hAnsi="Times New Roman" w:cs="Times New Roman"/>
          <w:iCs/>
          <w:sz w:val="24"/>
          <w:szCs w:val="24"/>
          <w:lang w:eastAsia="lv-LV"/>
        </w:rPr>
        <w:t xml:space="preserve"> gan finansiālas problēmas, gan ražošanas apjom</w:t>
      </w:r>
      <w:r>
        <w:rPr>
          <w:rFonts w:ascii="Times New Roman" w:eastAsia="Times New Roman" w:hAnsi="Times New Roman" w:cs="Times New Roman"/>
          <w:iCs/>
          <w:sz w:val="24"/>
          <w:szCs w:val="24"/>
          <w:lang w:eastAsia="lv-LV"/>
        </w:rPr>
        <w:t>a</w:t>
      </w:r>
      <w:r w:rsidRPr="00AB2472">
        <w:rPr>
          <w:rFonts w:ascii="Times New Roman" w:eastAsia="Times New Roman" w:hAnsi="Times New Roman" w:cs="Times New Roman"/>
          <w:iCs/>
          <w:sz w:val="24"/>
          <w:szCs w:val="24"/>
          <w:lang w:eastAsia="lv-LV"/>
        </w:rPr>
        <w:t xml:space="preserve"> samazināšanos pārtikas pārstrādes un ražošanas uzņēmumiem</w:t>
      </w:r>
      <w:r>
        <w:rPr>
          <w:rFonts w:ascii="Times New Roman" w:eastAsia="Times New Roman" w:hAnsi="Times New Roman" w:cs="Times New Roman"/>
          <w:iCs/>
          <w:sz w:val="24"/>
          <w:szCs w:val="24"/>
          <w:lang w:eastAsia="lv-LV"/>
        </w:rPr>
        <w:t xml:space="preserve">, </w:t>
      </w:r>
      <w:r w:rsidR="005B760C">
        <w:rPr>
          <w:rFonts w:ascii="Times New Roman" w:eastAsia="Times New Roman" w:hAnsi="Times New Roman" w:cs="Times New Roman"/>
          <w:iCs/>
          <w:sz w:val="24"/>
          <w:szCs w:val="24"/>
          <w:lang w:eastAsia="lv-LV"/>
        </w:rPr>
        <w:t>tam</w:t>
      </w:r>
      <w:r w:rsidRPr="00AB2472">
        <w:rPr>
          <w:rFonts w:ascii="Times New Roman" w:eastAsia="Times New Roman" w:hAnsi="Times New Roman" w:cs="Times New Roman"/>
          <w:iCs/>
          <w:sz w:val="24"/>
          <w:szCs w:val="24"/>
          <w:lang w:eastAsia="lv-LV"/>
        </w:rPr>
        <w:t xml:space="preserve"> savukārt izrais</w:t>
      </w:r>
      <w:r w:rsidR="005B760C">
        <w:rPr>
          <w:rFonts w:ascii="Times New Roman" w:eastAsia="Times New Roman" w:hAnsi="Times New Roman" w:cs="Times New Roman"/>
          <w:iCs/>
          <w:sz w:val="24"/>
          <w:szCs w:val="24"/>
          <w:lang w:eastAsia="lv-LV"/>
        </w:rPr>
        <w:t>ot</w:t>
      </w:r>
      <w:r w:rsidRPr="00AB2472">
        <w:rPr>
          <w:rFonts w:ascii="Times New Roman" w:eastAsia="Times New Roman" w:hAnsi="Times New Roman" w:cs="Times New Roman"/>
          <w:iCs/>
          <w:sz w:val="24"/>
          <w:szCs w:val="24"/>
          <w:lang w:eastAsia="lv-LV"/>
        </w:rPr>
        <w:t xml:space="preserve"> pieprasījuma samazināšanos pēc lauksaimniecības primārajiem produktiem (pien</w:t>
      </w:r>
      <w:r>
        <w:rPr>
          <w:rFonts w:ascii="Times New Roman" w:eastAsia="Times New Roman" w:hAnsi="Times New Roman" w:cs="Times New Roman"/>
          <w:iCs/>
          <w:sz w:val="24"/>
          <w:szCs w:val="24"/>
          <w:lang w:eastAsia="lv-LV"/>
        </w:rPr>
        <w:t>a</w:t>
      </w:r>
      <w:r w:rsidRPr="00AB2472">
        <w:rPr>
          <w:rFonts w:ascii="Times New Roman" w:eastAsia="Times New Roman" w:hAnsi="Times New Roman" w:cs="Times New Roman"/>
          <w:iCs/>
          <w:sz w:val="24"/>
          <w:szCs w:val="24"/>
          <w:lang w:eastAsia="lv-LV"/>
        </w:rPr>
        <w:t>, gaļa</w:t>
      </w:r>
      <w:r>
        <w:rPr>
          <w:rFonts w:ascii="Times New Roman" w:eastAsia="Times New Roman" w:hAnsi="Times New Roman" w:cs="Times New Roman"/>
          <w:iCs/>
          <w:sz w:val="24"/>
          <w:szCs w:val="24"/>
          <w:lang w:eastAsia="lv-LV"/>
        </w:rPr>
        <w:t>s</w:t>
      </w:r>
      <w:r w:rsidRPr="00AB247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augļiem, ogām un dārzeņiem</w:t>
      </w:r>
      <w:r w:rsidRPr="00AB2472">
        <w:rPr>
          <w:rFonts w:ascii="Times New Roman" w:eastAsia="Times New Roman" w:hAnsi="Times New Roman" w:cs="Times New Roman"/>
          <w:iCs/>
          <w:sz w:val="24"/>
          <w:szCs w:val="24"/>
          <w:lang w:eastAsia="lv-LV"/>
        </w:rPr>
        <w:t xml:space="preserve">) un </w:t>
      </w:r>
      <w:r>
        <w:rPr>
          <w:rFonts w:ascii="Times New Roman" w:eastAsia="Times New Roman" w:hAnsi="Times New Roman" w:cs="Times New Roman"/>
          <w:iCs/>
          <w:sz w:val="24"/>
          <w:szCs w:val="24"/>
          <w:lang w:eastAsia="lv-LV"/>
        </w:rPr>
        <w:t>līdz ar to</w:t>
      </w:r>
      <w:r w:rsidRPr="00AB2472">
        <w:rPr>
          <w:rFonts w:ascii="Times New Roman" w:eastAsia="Times New Roman" w:hAnsi="Times New Roman" w:cs="Times New Roman"/>
          <w:iCs/>
          <w:sz w:val="24"/>
          <w:szCs w:val="24"/>
          <w:lang w:eastAsia="lv-LV"/>
        </w:rPr>
        <w:t xml:space="preserve"> šo produktu iepirkuma cenu un apjom</w:t>
      </w:r>
      <w:r>
        <w:rPr>
          <w:rFonts w:ascii="Times New Roman" w:eastAsia="Times New Roman" w:hAnsi="Times New Roman" w:cs="Times New Roman"/>
          <w:iCs/>
          <w:sz w:val="24"/>
          <w:szCs w:val="24"/>
          <w:lang w:eastAsia="lv-LV"/>
        </w:rPr>
        <w:t>a</w:t>
      </w:r>
      <w:r w:rsidRPr="00AB247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samazināšanos</w:t>
      </w:r>
      <w:r w:rsidRPr="00AB2472">
        <w:rPr>
          <w:rFonts w:ascii="Times New Roman" w:eastAsia="Times New Roman" w:hAnsi="Times New Roman" w:cs="Times New Roman"/>
          <w:iCs/>
          <w:sz w:val="24"/>
          <w:szCs w:val="24"/>
          <w:lang w:eastAsia="lv-LV"/>
        </w:rPr>
        <w:t xml:space="preserve"> no ražotājiem (lauksaimniekiem)</w:t>
      </w:r>
      <w:r w:rsidR="005B760C">
        <w:rPr>
          <w:rFonts w:ascii="Times New Roman" w:eastAsia="Times New Roman" w:hAnsi="Times New Roman" w:cs="Times New Roman"/>
          <w:iCs/>
          <w:sz w:val="24"/>
          <w:szCs w:val="24"/>
          <w:lang w:eastAsia="lv-LV"/>
        </w:rPr>
        <w:t>;</w:t>
      </w:r>
    </w:p>
    <w:p w14:paraId="7AE9AD6A" w14:textId="2AFFCBE6" w:rsidR="00FC08F7" w:rsidRPr="00AB2472" w:rsidRDefault="00FC08F7" w:rsidP="00FC08F7">
      <w:pPr>
        <w:pStyle w:val="ListParagraph"/>
        <w:numPr>
          <w:ilvl w:val="0"/>
          <w:numId w:val="21"/>
        </w:numPr>
        <w:spacing w:after="0" w:line="240" w:lineRule="auto"/>
        <w:ind w:left="391" w:hanging="283"/>
        <w:contextualSpacing w:val="0"/>
        <w:jc w:val="both"/>
        <w:rPr>
          <w:rFonts w:ascii="Times New Roman" w:eastAsia="Times New Roman" w:hAnsi="Times New Roman" w:cs="Times New Roman"/>
          <w:iCs/>
          <w:sz w:val="24"/>
          <w:szCs w:val="24"/>
          <w:lang w:eastAsia="lv-LV"/>
        </w:rPr>
      </w:pPr>
      <w:r w:rsidRPr="00AB2472">
        <w:rPr>
          <w:rFonts w:ascii="Times New Roman" w:eastAsia="Times New Roman" w:hAnsi="Times New Roman" w:cs="Times New Roman"/>
          <w:iCs/>
          <w:sz w:val="24"/>
          <w:szCs w:val="24"/>
          <w:lang w:eastAsia="lv-LV"/>
        </w:rPr>
        <w:t>izglītības iestāžu slēgšana</w:t>
      </w:r>
      <w:r w:rsidR="00A57380">
        <w:rPr>
          <w:rFonts w:ascii="Times New Roman" w:eastAsia="Times New Roman" w:hAnsi="Times New Roman" w:cs="Times New Roman"/>
          <w:iCs/>
          <w:sz w:val="24"/>
          <w:szCs w:val="24"/>
          <w:lang w:eastAsia="lv-LV"/>
        </w:rPr>
        <w:t xml:space="preserve">, pārejot uz attālinātu mācību procesu, </w:t>
      </w:r>
      <w:r w:rsidRPr="00AB2472">
        <w:rPr>
          <w:rFonts w:ascii="Times New Roman" w:eastAsia="Times New Roman" w:hAnsi="Times New Roman" w:cs="Times New Roman"/>
          <w:iCs/>
          <w:sz w:val="24"/>
          <w:szCs w:val="24"/>
          <w:lang w:eastAsia="lv-LV"/>
        </w:rPr>
        <w:t>saistībā ar ārkārtas situācijas izsludināšanu valstī radīj</w:t>
      </w:r>
      <w:r>
        <w:rPr>
          <w:rFonts w:ascii="Times New Roman" w:eastAsia="Times New Roman" w:hAnsi="Times New Roman" w:cs="Times New Roman"/>
          <w:iCs/>
          <w:sz w:val="24"/>
          <w:szCs w:val="24"/>
          <w:lang w:eastAsia="lv-LV"/>
        </w:rPr>
        <w:t>a</w:t>
      </w:r>
      <w:r w:rsidRPr="00AB2472">
        <w:rPr>
          <w:rFonts w:ascii="Times New Roman" w:eastAsia="Times New Roman" w:hAnsi="Times New Roman" w:cs="Times New Roman"/>
          <w:iCs/>
          <w:sz w:val="24"/>
          <w:szCs w:val="24"/>
          <w:lang w:eastAsia="lv-LV"/>
        </w:rPr>
        <w:t xml:space="preserve"> pēkšņas un būtiskas problēmas pārtikas uzņēmumiem, </w:t>
      </w:r>
      <w:r w:rsidRPr="00AB2472">
        <w:rPr>
          <w:rFonts w:ascii="Times New Roman" w:eastAsia="Times New Roman" w:hAnsi="Times New Roman" w:cs="Times New Roman"/>
          <w:iCs/>
          <w:sz w:val="24"/>
          <w:szCs w:val="24"/>
          <w:lang w:eastAsia="lv-LV"/>
        </w:rPr>
        <w:lastRenderedPageBreak/>
        <w:t xml:space="preserve">kas nodrošina ēdināšanu izglītības iestādēs, jo nebija iespējams izlietot piegādātos produktus, </w:t>
      </w:r>
      <w:r>
        <w:rPr>
          <w:rFonts w:ascii="Times New Roman" w:eastAsia="Times New Roman" w:hAnsi="Times New Roman" w:cs="Times New Roman"/>
          <w:iCs/>
          <w:sz w:val="24"/>
          <w:szCs w:val="24"/>
          <w:lang w:eastAsia="lv-LV"/>
        </w:rPr>
        <w:t xml:space="preserve">no kuriem </w:t>
      </w:r>
      <w:r w:rsidRPr="00AB2472">
        <w:rPr>
          <w:rFonts w:ascii="Times New Roman" w:eastAsia="Times New Roman" w:hAnsi="Times New Roman" w:cs="Times New Roman"/>
          <w:iCs/>
          <w:sz w:val="24"/>
          <w:szCs w:val="24"/>
          <w:lang w:eastAsia="lv-LV"/>
        </w:rPr>
        <w:t xml:space="preserve">lielai daļai ir īss derīguma termiņš un </w:t>
      </w:r>
      <w:r>
        <w:rPr>
          <w:rFonts w:ascii="Times New Roman" w:eastAsia="Times New Roman" w:hAnsi="Times New Roman" w:cs="Times New Roman"/>
          <w:iCs/>
          <w:sz w:val="24"/>
          <w:szCs w:val="24"/>
          <w:lang w:eastAsia="lv-LV"/>
        </w:rPr>
        <w:t>kurus</w:t>
      </w:r>
      <w:r w:rsidRPr="00AB2472">
        <w:rPr>
          <w:rFonts w:ascii="Times New Roman" w:eastAsia="Times New Roman" w:hAnsi="Times New Roman" w:cs="Times New Roman"/>
          <w:iCs/>
          <w:sz w:val="24"/>
          <w:szCs w:val="24"/>
          <w:lang w:eastAsia="lv-LV"/>
        </w:rPr>
        <w:t xml:space="preserve"> nevar uzglabāt. Tāpat problēmas ar produkcijas krājumu izveidošanos radās arī lauksaimniekiem, īpaši </w:t>
      </w:r>
      <w:r>
        <w:rPr>
          <w:rFonts w:ascii="Times New Roman" w:eastAsia="Times New Roman" w:hAnsi="Times New Roman" w:cs="Times New Roman"/>
          <w:iCs/>
          <w:sz w:val="24"/>
          <w:szCs w:val="24"/>
          <w:lang w:eastAsia="lv-LV"/>
        </w:rPr>
        <w:t xml:space="preserve">augļu un </w:t>
      </w:r>
      <w:r w:rsidRPr="00AB2472">
        <w:rPr>
          <w:rFonts w:ascii="Times New Roman" w:eastAsia="Times New Roman" w:hAnsi="Times New Roman" w:cs="Times New Roman"/>
          <w:iCs/>
          <w:sz w:val="24"/>
          <w:szCs w:val="24"/>
          <w:lang w:eastAsia="lv-LV"/>
        </w:rPr>
        <w:t>dārzeņu audzētājiem, kas piegādāja produkciju šiem pārtikas uzņēmumiem</w:t>
      </w:r>
      <w:r w:rsidR="005B760C">
        <w:rPr>
          <w:rFonts w:ascii="Times New Roman" w:eastAsia="Times New Roman" w:hAnsi="Times New Roman" w:cs="Times New Roman"/>
          <w:iCs/>
          <w:sz w:val="24"/>
          <w:szCs w:val="24"/>
          <w:lang w:eastAsia="lv-LV"/>
        </w:rPr>
        <w:t>;</w:t>
      </w:r>
    </w:p>
    <w:p w14:paraId="71AEA800" w14:textId="1247E293" w:rsidR="00FC08F7" w:rsidRPr="00AB2472" w:rsidRDefault="003840FD" w:rsidP="00FC08F7">
      <w:pPr>
        <w:pStyle w:val="ListParagraph"/>
        <w:numPr>
          <w:ilvl w:val="0"/>
          <w:numId w:val="21"/>
        </w:numPr>
        <w:spacing w:after="0" w:line="240" w:lineRule="auto"/>
        <w:ind w:left="391" w:hanging="283"/>
        <w:contextualSpacing w:val="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w:t>
      </w:r>
      <w:r w:rsidRPr="00AB2472">
        <w:rPr>
          <w:rFonts w:ascii="Times New Roman" w:eastAsia="Times New Roman" w:hAnsi="Times New Roman" w:cs="Times New Roman"/>
          <w:iCs/>
          <w:sz w:val="24"/>
          <w:szCs w:val="24"/>
          <w:lang w:eastAsia="lv-LV"/>
        </w:rPr>
        <w:t xml:space="preserve"> ar tūrisma kritumu </w:t>
      </w:r>
      <w:r>
        <w:rPr>
          <w:rFonts w:ascii="Times New Roman" w:eastAsia="Times New Roman" w:hAnsi="Times New Roman" w:cs="Times New Roman"/>
          <w:iCs/>
          <w:sz w:val="24"/>
          <w:szCs w:val="24"/>
          <w:lang w:eastAsia="lv-LV"/>
        </w:rPr>
        <w:t xml:space="preserve">sarūkot </w:t>
      </w:r>
      <w:r w:rsidRPr="00AB2472">
        <w:rPr>
          <w:rFonts w:ascii="Times New Roman" w:eastAsia="Times New Roman" w:hAnsi="Times New Roman" w:cs="Times New Roman"/>
          <w:iCs/>
          <w:sz w:val="24"/>
          <w:szCs w:val="24"/>
          <w:lang w:eastAsia="lv-LV"/>
        </w:rPr>
        <w:t>apmeklētāju skait</w:t>
      </w:r>
      <w:r>
        <w:rPr>
          <w:rFonts w:ascii="Times New Roman" w:eastAsia="Times New Roman" w:hAnsi="Times New Roman" w:cs="Times New Roman"/>
          <w:iCs/>
          <w:sz w:val="24"/>
          <w:szCs w:val="24"/>
          <w:lang w:eastAsia="lv-LV"/>
        </w:rPr>
        <w:t>am</w:t>
      </w:r>
      <w:r w:rsidRPr="00AB2472">
        <w:rPr>
          <w:rFonts w:ascii="Times New Roman" w:eastAsia="Times New Roman" w:hAnsi="Times New Roman" w:cs="Times New Roman"/>
          <w:iCs/>
          <w:sz w:val="24"/>
          <w:szCs w:val="24"/>
          <w:lang w:eastAsia="lv-LV"/>
        </w:rPr>
        <w:t xml:space="preserve"> restorānos un kafejnīc</w:t>
      </w:r>
      <w:r>
        <w:rPr>
          <w:rFonts w:ascii="Times New Roman" w:eastAsia="Times New Roman" w:hAnsi="Times New Roman" w:cs="Times New Roman"/>
          <w:iCs/>
          <w:sz w:val="24"/>
          <w:szCs w:val="24"/>
          <w:lang w:eastAsia="lv-LV"/>
        </w:rPr>
        <w:t>ā</w:t>
      </w:r>
      <w:r w:rsidRPr="00AB2472">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w:t>
      </w:r>
      <w:r w:rsidR="00FC08F7">
        <w:rPr>
          <w:rFonts w:ascii="Times New Roman" w:eastAsia="Times New Roman" w:hAnsi="Times New Roman" w:cs="Times New Roman"/>
          <w:iCs/>
          <w:sz w:val="24"/>
          <w:szCs w:val="24"/>
          <w:lang w:eastAsia="lv-LV"/>
        </w:rPr>
        <w:t>s</w:t>
      </w:r>
      <w:r w:rsidR="00FC08F7" w:rsidRPr="00AB2472">
        <w:rPr>
          <w:rFonts w:ascii="Times New Roman" w:eastAsia="Times New Roman" w:hAnsi="Times New Roman" w:cs="Times New Roman"/>
          <w:iCs/>
          <w:sz w:val="24"/>
          <w:szCs w:val="24"/>
          <w:lang w:eastAsia="lv-LV"/>
        </w:rPr>
        <w:t>amazināj</w:t>
      </w:r>
      <w:r w:rsidR="005B760C">
        <w:rPr>
          <w:rFonts w:ascii="Times New Roman" w:eastAsia="Times New Roman" w:hAnsi="Times New Roman" w:cs="Times New Roman"/>
          <w:iCs/>
          <w:sz w:val="24"/>
          <w:szCs w:val="24"/>
          <w:lang w:eastAsia="lv-LV"/>
        </w:rPr>
        <w:t>ā</w:t>
      </w:r>
      <w:r w:rsidR="00FC08F7" w:rsidRPr="00AB2472">
        <w:rPr>
          <w:rFonts w:ascii="Times New Roman" w:eastAsia="Times New Roman" w:hAnsi="Times New Roman" w:cs="Times New Roman"/>
          <w:iCs/>
          <w:sz w:val="24"/>
          <w:szCs w:val="24"/>
          <w:lang w:eastAsia="lv-LV"/>
        </w:rPr>
        <w:t xml:space="preserve">s pieprasījums </w:t>
      </w:r>
      <w:r w:rsidR="00FC08F7">
        <w:rPr>
          <w:rFonts w:ascii="Times New Roman" w:eastAsia="Times New Roman" w:hAnsi="Times New Roman" w:cs="Times New Roman"/>
          <w:iCs/>
          <w:sz w:val="24"/>
          <w:szCs w:val="24"/>
          <w:lang w:eastAsia="lv-LV"/>
        </w:rPr>
        <w:t>pēc</w:t>
      </w:r>
      <w:r w:rsidR="00FC08F7" w:rsidRPr="00AB2472">
        <w:rPr>
          <w:rFonts w:ascii="Times New Roman" w:eastAsia="Times New Roman" w:hAnsi="Times New Roman" w:cs="Times New Roman"/>
          <w:iCs/>
          <w:sz w:val="24"/>
          <w:szCs w:val="24"/>
          <w:lang w:eastAsia="lv-LV"/>
        </w:rPr>
        <w:t xml:space="preserve"> pārtikas precēm viesnīcu, restorānu un sabiedriskās ēdināšanas nozarē</w:t>
      </w:r>
      <w:r>
        <w:rPr>
          <w:rFonts w:ascii="Times New Roman" w:eastAsia="Times New Roman" w:hAnsi="Times New Roman" w:cs="Times New Roman"/>
          <w:iCs/>
          <w:sz w:val="24"/>
          <w:szCs w:val="24"/>
          <w:lang w:eastAsia="lv-LV"/>
        </w:rPr>
        <w:t xml:space="preserve"> un</w:t>
      </w:r>
      <w:r w:rsidR="00FC08F7" w:rsidRPr="00AB247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w:t>
      </w:r>
      <w:r w:rsidR="00FC08F7" w:rsidRPr="00AB2472">
        <w:rPr>
          <w:rFonts w:ascii="Times New Roman" w:eastAsia="Times New Roman" w:hAnsi="Times New Roman" w:cs="Times New Roman"/>
          <w:iCs/>
          <w:sz w:val="24"/>
          <w:szCs w:val="24"/>
          <w:lang w:eastAsia="lv-LV"/>
        </w:rPr>
        <w:t>āreja uz ēdiena gatavošanu mājās n</w:t>
      </w:r>
      <w:r w:rsidR="00FC08F7">
        <w:rPr>
          <w:rFonts w:ascii="Times New Roman" w:eastAsia="Times New Roman" w:hAnsi="Times New Roman" w:cs="Times New Roman"/>
          <w:iCs/>
          <w:sz w:val="24"/>
          <w:szCs w:val="24"/>
          <w:lang w:eastAsia="lv-LV"/>
        </w:rPr>
        <w:t>e</w:t>
      </w:r>
      <w:r w:rsidR="00FC08F7" w:rsidRPr="00AB2472">
        <w:rPr>
          <w:rFonts w:ascii="Times New Roman" w:eastAsia="Times New Roman" w:hAnsi="Times New Roman" w:cs="Times New Roman"/>
          <w:iCs/>
          <w:sz w:val="24"/>
          <w:szCs w:val="24"/>
          <w:lang w:eastAsia="lv-LV"/>
        </w:rPr>
        <w:t>kompensēj</w:t>
      </w:r>
      <w:r w:rsidR="00FC08F7">
        <w:rPr>
          <w:rFonts w:ascii="Times New Roman" w:eastAsia="Times New Roman" w:hAnsi="Times New Roman" w:cs="Times New Roman"/>
          <w:iCs/>
          <w:sz w:val="24"/>
          <w:szCs w:val="24"/>
          <w:lang w:eastAsia="lv-LV"/>
        </w:rPr>
        <w:t>a</w:t>
      </w:r>
      <w:r w:rsidR="00FC08F7" w:rsidRPr="00AB2472">
        <w:rPr>
          <w:rFonts w:ascii="Times New Roman" w:eastAsia="Times New Roman" w:hAnsi="Times New Roman" w:cs="Times New Roman"/>
          <w:iCs/>
          <w:sz w:val="24"/>
          <w:szCs w:val="24"/>
          <w:lang w:eastAsia="lv-LV"/>
        </w:rPr>
        <w:t xml:space="preserve"> noieta zudumu</w:t>
      </w:r>
      <w:r>
        <w:rPr>
          <w:rFonts w:ascii="Times New Roman" w:eastAsia="Times New Roman" w:hAnsi="Times New Roman" w:cs="Times New Roman"/>
          <w:iCs/>
          <w:sz w:val="24"/>
          <w:szCs w:val="24"/>
          <w:lang w:eastAsia="lv-LV"/>
        </w:rPr>
        <w:t>;</w:t>
      </w:r>
    </w:p>
    <w:p w14:paraId="547008CD" w14:textId="6A93AC79" w:rsidR="00FC08F7" w:rsidRDefault="003840FD" w:rsidP="00FC08F7">
      <w:pPr>
        <w:pStyle w:val="ListParagraph"/>
        <w:numPr>
          <w:ilvl w:val="0"/>
          <w:numId w:val="21"/>
        </w:numPr>
        <w:spacing w:after="0" w:line="240" w:lineRule="auto"/>
        <w:ind w:left="391" w:hanging="283"/>
        <w:contextualSpacing w:val="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tika </w:t>
      </w:r>
      <w:r w:rsidR="00FC08F7">
        <w:rPr>
          <w:rFonts w:ascii="Times New Roman" w:eastAsia="Times New Roman" w:hAnsi="Times New Roman" w:cs="Times New Roman"/>
          <w:iCs/>
          <w:sz w:val="24"/>
          <w:szCs w:val="24"/>
          <w:lang w:eastAsia="lv-LV"/>
        </w:rPr>
        <w:t>novērots</w:t>
      </w:r>
      <w:r w:rsidR="00FC08F7" w:rsidRPr="00AB2472">
        <w:rPr>
          <w:rFonts w:ascii="Times New Roman" w:eastAsia="Times New Roman" w:hAnsi="Times New Roman" w:cs="Times New Roman"/>
          <w:iCs/>
          <w:sz w:val="24"/>
          <w:szCs w:val="24"/>
          <w:lang w:eastAsia="lv-LV"/>
        </w:rPr>
        <w:t xml:space="preserve"> pirktspējas kritums, </w:t>
      </w:r>
      <w:r w:rsidR="00FC08F7">
        <w:rPr>
          <w:rFonts w:ascii="Times New Roman" w:eastAsia="Times New Roman" w:hAnsi="Times New Roman" w:cs="Times New Roman"/>
          <w:iCs/>
          <w:sz w:val="24"/>
          <w:szCs w:val="24"/>
          <w:lang w:eastAsia="lv-LV"/>
        </w:rPr>
        <w:t>it īpaši samazinājās pieprasījums pēc produktiem ar īsu derīguma termiņu.</w:t>
      </w:r>
    </w:p>
    <w:p w14:paraId="753C01FE" w14:textId="54A8C0A3" w:rsidR="00AE53BD" w:rsidRDefault="00943C24" w:rsidP="00AE53BD">
      <w:pPr>
        <w:pStyle w:val="ListParagraph"/>
        <w:spacing w:after="0" w:line="240" w:lineRule="auto"/>
        <w:ind w:left="0" w:firstLine="851"/>
        <w:contextualSpacing w:val="0"/>
        <w:jc w:val="both"/>
        <w:rPr>
          <w:rFonts w:ascii="Times New Roman" w:eastAsia="Calibri" w:hAnsi="Times New Roman" w:cs="Times New Roman"/>
          <w:sz w:val="24"/>
        </w:rPr>
      </w:pPr>
      <w:r w:rsidRPr="00943C24">
        <w:rPr>
          <w:rFonts w:ascii="Times New Roman" w:eastAsia="Times New Roman" w:hAnsi="Times New Roman" w:cs="Times New Roman"/>
          <w:sz w:val="24"/>
          <w:szCs w:val="24"/>
        </w:rPr>
        <w:t xml:space="preserve">2021. gadā bija vērojams būtībā nepārtraukts nozīmīgo ražošanas resursu cenu sadārdzinājums, kas turpinās arī 2022. gadā, turklāt, </w:t>
      </w:r>
      <w:r>
        <w:rPr>
          <w:rFonts w:ascii="Times New Roman" w:eastAsia="Times New Roman" w:hAnsi="Times New Roman" w:cs="Times New Roman"/>
          <w:sz w:val="24"/>
          <w:szCs w:val="24"/>
        </w:rPr>
        <w:t>s</w:t>
      </w:r>
      <w:r w:rsidR="00F725F7" w:rsidRPr="00943C24">
        <w:rPr>
          <w:rFonts w:ascii="Times New Roman" w:eastAsia="Times New Roman" w:hAnsi="Times New Roman" w:cs="Times New Roman"/>
          <w:sz w:val="24"/>
          <w:szCs w:val="24"/>
        </w:rPr>
        <w:t>ākoties Krievijas iebrukumam Ukrainā, situācija tikai pasliktinājās</w:t>
      </w:r>
      <w:r w:rsidR="00AE53BD">
        <w:rPr>
          <w:rFonts w:ascii="Times New Roman" w:eastAsia="Times New Roman" w:hAnsi="Times New Roman" w:cs="Times New Roman"/>
          <w:sz w:val="24"/>
          <w:szCs w:val="24"/>
        </w:rPr>
        <w:t xml:space="preserve">. </w:t>
      </w:r>
      <w:r w:rsidR="00AE53BD">
        <w:rPr>
          <w:rFonts w:ascii="Times New Roman" w:eastAsia="Calibri" w:hAnsi="Times New Roman" w:cs="Times New Roman"/>
          <w:sz w:val="24"/>
        </w:rPr>
        <w:t>K</w:t>
      </w:r>
      <w:r w:rsidR="00AE53BD" w:rsidRPr="009C7B83">
        <w:rPr>
          <w:rFonts w:ascii="Times New Roman" w:eastAsia="Calibri" w:hAnsi="Times New Roman" w:cs="Times New Roman"/>
          <w:sz w:val="24"/>
        </w:rPr>
        <w:t>opš Krievijas izraisītā kara Ukrainā sākuma, lauksaimniecības un pārtikas produktu tirgi tika satricināti, jo tika ietekmēti visi sektori un cenu pieaugums skāra visus būtiskos ražošanas resursus un izejvielas – dīzeļdegviela, elektroenerģija, dabasgāze, minerālmēslojums un augu aizsardzības līdzekļi. Karš Ukrainā būtiski un tieši ietekmēja un turpina ietekmēt lauksaimniecības un pārtikas produktu ražošanas saimniecības un uzņēmumus, kuri ir pakļauti ilgstošas krīzes spiedienam, ņemot vērā būtiski pieaugušās ražošanas resursu izmaksas, kas saglabājas augstā līmenī arī 2023. gadā. Izveidojusies situācija būtiski pasliktināja un turpina negatīvi ietekmēt lauksaimnieku finansiālo situāciju un rentabilitāti.</w:t>
      </w:r>
      <w:r w:rsidR="00AE53BD" w:rsidRPr="0054352A">
        <w:rPr>
          <w:rFonts w:ascii="Times New Roman" w:eastAsia="Calibri" w:hAnsi="Times New Roman" w:cs="Times New Roman"/>
          <w:sz w:val="24"/>
        </w:rPr>
        <w:t xml:space="preserve"> </w:t>
      </w:r>
      <w:r w:rsidR="00AE53BD">
        <w:rPr>
          <w:rFonts w:ascii="Times New Roman" w:eastAsia="Calibri" w:hAnsi="Times New Roman" w:cs="Times New Roman"/>
          <w:sz w:val="24"/>
        </w:rPr>
        <w:t xml:space="preserve">Saskaņā ar Eiropas Komisijas datiem augļu un dārzeņu nozare 2022. gadā </w:t>
      </w:r>
      <w:r w:rsidR="00AE53BD" w:rsidRPr="006D5F17">
        <w:rPr>
          <w:rFonts w:ascii="Times New Roman" w:eastAsia="Calibri" w:hAnsi="Times New Roman" w:cs="Times New Roman"/>
          <w:sz w:val="24"/>
        </w:rPr>
        <w:t>saskaras ar diezgan sarežģītu tirgus situāciju, jo augstā inflācija mazina patērētāju pirktspēju un ietekmē patēriņu (lēš, ka tas ir samazinājies vismaz par 10 %</w:t>
      </w:r>
      <w:r w:rsidR="00AE53BD">
        <w:rPr>
          <w:rFonts w:ascii="Times New Roman" w:eastAsia="Calibri" w:hAnsi="Times New Roman" w:cs="Times New Roman"/>
          <w:sz w:val="24"/>
        </w:rPr>
        <w:t xml:space="preserve"> vidēji ES-27</w:t>
      </w:r>
      <w:r w:rsidR="00AE53BD" w:rsidRPr="006D5F17">
        <w:rPr>
          <w:rFonts w:ascii="Times New Roman" w:eastAsia="Calibri" w:hAnsi="Times New Roman" w:cs="Times New Roman"/>
          <w:sz w:val="24"/>
        </w:rPr>
        <w:t>).</w:t>
      </w:r>
      <w:r w:rsidR="00AE53BD">
        <w:rPr>
          <w:rFonts w:ascii="Times New Roman" w:eastAsia="Calibri" w:hAnsi="Times New Roman" w:cs="Times New Roman"/>
          <w:sz w:val="24"/>
        </w:rPr>
        <w:t xml:space="preserve"> </w:t>
      </w:r>
    </w:p>
    <w:p w14:paraId="1A255BF2" w14:textId="77777777" w:rsidR="00AE53BD" w:rsidRPr="002851E7" w:rsidRDefault="00AE53BD" w:rsidP="00AE53BD">
      <w:pPr>
        <w:pStyle w:val="ListParagraph"/>
        <w:spacing w:after="0" w:line="240" w:lineRule="auto"/>
        <w:ind w:left="0" w:firstLine="851"/>
        <w:contextualSpacing w:val="0"/>
        <w:jc w:val="both"/>
        <w:rPr>
          <w:rFonts w:ascii="Times New Roman" w:eastAsia="Calibri" w:hAnsi="Times New Roman" w:cs="Times New Roman"/>
          <w:sz w:val="24"/>
        </w:rPr>
      </w:pPr>
      <w:r w:rsidRPr="000D2B61">
        <w:rPr>
          <w:rFonts w:ascii="Times New Roman" w:eastAsia="Calibri" w:hAnsi="Times New Roman" w:cs="Times New Roman"/>
          <w:sz w:val="24"/>
        </w:rPr>
        <w:t xml:space="preserve">Turklāt, 2023. gads nes papildus jaunas grūtības, jo </w:t>
      </w:r>
      <w:r w:rsidRPr="002851E7">
        <w:rPr>
          <w:rFonts w:ascii="Times New Roman" w:eastAsia="Calibri" w:hAnsi="Times New Roman" w:cs="Times New Roman"/>
          <w:sz w:val="24"/>
        </w:rPr>
        <w:t>2023. gada pavasarī Latvijas augļkopji ievērojami cieta no pavasara salnu postījumiem</w:t>
      </w:r>
      <w:r w:rsidRPr="000D2B61">
        <w:rPr>
          <w:rFonts w:ascii="Times New Roman" w:eastAsia="Calibri" w:hAnsi="Times New Roman" w:cs="Times New Roman"/>
          <w:sz w:val="24"/>
        </w:rPr>
        <w:t xml:space="preserve"> </w:t>
      </w:r>
      <w:r>
        <w:rPr>
          <w:rFonts w:ascii="Times New Roman" w:eastAsia="Calibri" w:hAnsi="Times New Roman" w:cs="Times New Roman"/>
          <w:sz w:val="24"/>
        </w:rPr>
        <w:t>un p</w:t>
      </w:r>
      <w:r w:rsidRPr="002851E7">
        <w:rPr>
          <w:rFonts w:ascii="Times New Roman" w:eastAsia="Calibri" w:hAnsi="Times New Roman" w:cs="Times New Roman"/>
          <w:sz w:val="24"/>
        </w:rPr>
        <w:t>a</w:t>
      </w:r>
      <w:r>
        <w:rPr>
          <w:rFonts w:ascii="Times New Roman" w:eastAsia="Calibri" w:hAnsi="Times New Roman" w:cs="Times New Roman"/>
          <w:sz w:val="24"/>
        </w:rPr>
        <w:t>vas</w:t>
      </w:r>
      <w:r w:rsidRPr="002851E7">
        <w:rPr>
          <w:rFonts w:ascii="Times New Roman" w:eastAsia="Calibri" w:hAnsi="Times New Roman" w:cs="Times New Roman"/>
          <w:sz w:val="24"/>
        </w:rPr>
        <w:t xml:space="preserve">ara salnās cietuši ir augļu dārzi visos Latvijas reģionos. Šī gada pavasarī Latvijā piedzīvotas vienas no postošākajām pavasara salnām pēdējos gados, un tiek prognozēts, ka salnu ietekmē tiks zaudēta lielākā ražas daļa. Patlaban notiek apsekošana, lai precīzi noteiktu zaudējumu apmēru. </w:t>
      </w:r>
    </w:p>
    <w:p w14:paraId="26451155" w14:textId="3B113C06" w:rsidR="00AE53BD" w:rsidRPr="002851E7" w:rsidRDefault="00AE53BD" w:rsidP="00AE53BD">
      <w:pPr>
        <w:pStyle w:val="ListParagraph"/>
        <w:spacing w:after="0" w:line="240" w:lineRule="auto"/>
        <w:ind w:left="0" w:firstLine="851"/>
        <w:contextualSpacing w:val="0"/>
        <w:jc w:val="both"/>
        <w:rPr>
          <w:rFonts w:ascii="Times New Roman" w:eastAsia="Calibri" w:hAnsi="Times New Roman" w:cs="Times New Roman"/>
          <w:sz w:val="24"/>
        </w:rPr>
      </w:pPr>
      <w:r>
        <w:rPr>
          <w:rFonts w:ascii="Times New Roman" w:eastAsia="Calibri" w:hAnsi="Times New Roman" w:cs="Times New Roman"/>
          <w:sz w:val="24"/>
        </w:rPr>
        <w:t xml:space="preserve">Papildus tam no </w:t>
      </w:r>
      <w:r w:rsidRPr="000D2B61">
        <w:rPr>
          <w:rFonts w:ascii="Times New Roman" w:eastAsia="Calibri" w:hAnsi="Times New Roman" w:cs="Times New Roman"/>
          <w:sz w:val="24"/>
        </w:rPr>
        <w:t>2023. gada aprī</w:t>
      </w:r>
      <w:r>
        <w:rPr>
          <w:rFonts w:ascii="Times New Roman" w:eastAsia="Calibri" w:hAnsi="Times New Roman" w:cs="Times New Roman"/>
          <w:sz w:val="24"/>
        </w:rPr>
        <w:t xml:space="preserve">ļa līdz </w:t>
      </w:r>
      <w:r w:rsidRPr="000D2B61">
        <w:rPr>
          <w:rFonts w:ascii="Times New Roman" w:eastAsia="Calibri" w:hAnsi="Times New Roman" w:cs="Times New Roman"/>
          <w:sz w:val="24"/>
        </w:rPr>
        <w:t>jūnij</w:t>
      </w:r>
      <w:r>
        <w:rPr>
          <w:rFonts w:ascii="Times New Roman" w:eastAsia="Calibri" w:hAnsi="Times New Roman" w:cs="Times New Roman"/>
          <w:sz w:val="24"/>
        </w:rPr>
        <w:t>am</w:t>
      </w:r>
      <w:r w:rsidRPr="000D2B61">
        <w:rPr>
          <w:rFonts w:ascii="Times New Roman" w:eastAsia="Calibri" w:hAnsi="Times New Roman" w:cs="Times New Roman"/>
          <w:sz w:val="24"/>
        </w:rPr>
        <w:t xml:space="preserve"> piedzīvotais sausums ir radījis neatgriezeniskas un nopietnas sekas visām lauksaimniecības nozarēm, tostarp dārzeņu un augļu nozarei, negatīvi ietekmējot kultūraugu sēju, dīgšanu un attīstību.</w:t>
      </w:r>
      <w:r>
        <w:rPr>
          <w:rFonts w:ascii="Times New Roman" w:eastAsia="Calibri" w:hAnsi="Times New Roman" w:cs="Times New Roman"/>
          <w:sz w:val="24"/>
        </w:rPr>
        <w:t xml:space="preserve"> </w:t>
      </w:r>
      <w:r w:rsidRPr="002851E7">
        <w:rPr>
          <w:rFonts w:ascii="Times New Roman" w:eastAsia="Calibri" w:hAnsi="Times New Roman" w:cs="Times New Roman"/>
          <w:sz w:val="24"/>
        </w:rPr>
        <w:t>Tā kā mitruma deficīts ir izšķirošs, tas neizbēgami atstās ietekmi uz ražu, un, ja piepildīsies prognozes, tad ražas zudums būs ievērojams un daļēji arī neatgriezenisks.</w:t>
      </w:r>
    </w:p>
    <w:p w14:paraId="50FABBC7" w14:textId="42B6A91E" w:rsidR="00943C24" w:rsidRDefault="00943C24" w:rsidP="00943C24">
      <w:pPr>
        <w:pStyle w:val="ListParagraph"/>
        <w:spacing w:after="0" w:line="240" w:lineRule="auto"/>
        <w:ind w:left="0" w:firstLine="851"/>
        <w:contextualSpacing w:val="0"/>
        <w:jc w:val="both"/>
        <w:rPr>
          <w:rFonts w:ascii="Times New Roman" w:eastAsia="Times New Roman" w:hAnsi="Times New Roman" w:cs="Times New Roman"/>
          <w:sz w:val="24"/>
          <w:szCs w:val="24"/>
        </w:rPr>
      </w:pPr>
    </w:p>
    <w:p w14:paraId="042F6056" w14:textId="5831AAB1" w:rsidR="002B16E5" w:rsidRPr="004973C9" w:rsidRDefault="003840FD" w:rsidP="00597187">
      <w:pPr>
        <w:pStyle w:val="ListParagraph"/>
        <w:numPr>
          <w:ilvl w:val="1"/>
          <w:numId w:val="20"/>
        </w:numPr>
        <w:tabs>
          <w:tab w:val="left" w:pos="1134"/>
        </w:tabs>
        <w:spacing w:before="120" w:after="120" w:line="240" w:lineRule="auto"/>
        <w:ind w:left="1434" w:hanging="35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sidR="00F564C1" w:rsidRPr="004973C9">
        <w:rPr>
          <w:rFonts w:ascii="Times New Roman" w:eastAsia="Times New Roman" w:hAnsi="Times New Roman" w:cs="Times New Roman"/>
          <w:b/>
          <w:sz w:val="24"/>
          <w:szCs w:val="24"/>
        </w:rPr>
        <w:t>Rezultatīvais rādītājs “</w:t>
      </w:r>
      <w:r w:rsidR="00F564C1" w:rsidRPr="004973C9">
        <w:rPr>
          <w:rFonts w:ascii="Times New Roman" w:eastAsia="Times New Roman" w:hAnsi="Times New Roman"/>
          <w:b/>
          <w:sz w:val="24"/>
          <w:szCs w:val="24"/>
          <w:lang w:eastAsia="lv-LV"/>
        </w:rPr>
        <w:t xml:space="preserve">Pievienotās vērtības nodokļa likumā noteikto augļu, ogu un dārzeņu izaudzētās produkcijas vērtība salīdzinājumā </w:t>
      </w:r>
      <w:r w:rsidR="008370B2">
        <w:rPr>
          <w:rFonts w:ascii="Times New Roman" w:eastAsia="Times New Roman" w:hAnsi="Times New Roman"/>
          <w:b/>
          <w:sz w:val="24"/>
          <w:szCs w:val="24"/>
          <w:lang w:eastAsia="lv-LV"/>
        </w:rPr>
        <w:t>ar</w:t>
      </w:r>
      <w:r w:rsidR="00F564C1" w:rsidRPr="004973C9">
        <w:rPr>
          <w:rFonts w:ascii="Times New Roman" w:eastAsia="Times New Roman" w:hAnsi="Times New Roman"/>
          <w:b/>
          <w:sz w:val="24"/>
          <w:szCs w:val="24"/>
          <w:lang w:eastAsia="lv-LV"/>
        </w:rPr>
        <w:t xml:space="preserve"> ievesto produkcijas vērtību ir lielāka par vienu procentpunktu (ik gadu)”</w:t>
      </w:r>
    </w:p>
    <w:p w14:paraId="597DE0AA" w14:textId="623FB1E3" w:rsidR="00574DF3" w:rsidRDefault="007210D6" w:rsidP="00B3603E">
      <w:pPr>
        <w:spacing w:after="0" w:line="240" w:lineRule="auto"/>
        <w:ind w:firstLine="851"/>
        <w:jc w:val="both"/>
        <w:rPr>
          <w:rFonts w:ascii="Times New Roman" w:eastAsia="Times New Roman" w:hAnsi="Times New Roman" w:cs="Times New Roman"/>
          <w:bCs/>
          <w:sz w:val="24"/>
          <w:szCs w:val="24"/>
        </w:rPr>
      </w:pPr>
      <w:r w:rsidRPr="00574DF3">
        <w:rPr>
          <w:rFonts w:ascii="Times New Roman" w:eastAsia="Times New Roman" w:hAnsi="Times New Roman" w:cs="Times New Roman"/>
          <w:sz w:val="24"/>
          <w:szCs w:val="24"/>
        </w:rPr>
        <w:t>Rezultatīvais</w:t>
      </w:r>
      <w:r w:rsidR="00CA7BC8" w:rsidRPr="00574DF3">
        <w:rPr>
          <w:rFonts w:ascii="Times New Roman" w:eastAsia="Times New Roman" w:hAnsi="Times New Roman" w:cs="Times New Roman"/>
          <w:sz w:val="24"/>
          <w:szCs w:val="24"/>
        </w:rPr>
        <w:t xml:space="preserve"> rādītājs “P</w:t>
      </w:r>
      <w:r w:rsidR="002804B7">
        <w:rPr>
          <w:rFonts w:ascii="Times New Roman" w:eastAsia="Times New Roman" w:hAnsi="Times New Roman" w:cs="Times New Roman"/>
          <w:sz w:val="24"/>
          <w:szCs w:val="24"/>
        </w:rPr>
        <w:t>ievienotās vērtības nodokļa</w:t>
      </w:r>
      <w:r w:rsidR="00CA7BC8" w:rsidRPr="00574DF3">
        <w:rPr>
          <w:rFonts w:ascii="Times New Roman" w:eastAsia="Times New Roman" w:hAnsi="Times New Roman" w:cs="Times New Roman"/>
          <w:sz w:val="24"/>
          <w:szCs w:val="24"/>
        </w:rPr>
        <w:t xml:space="preserve"> likumā noteikto augļu, ogu un dārzeņu izaudzētās produkcijas vērtība salīdzinājumā </w:t>
      </w:r>
      <w:r w:rsidR="008370B2">
        <w:rPr>
          <w:rFonts w:ascii="Times New Roman" w:eastAsia="Times New Roman" w:hAnsi="Times New Roman" w:cs="Times New Roman"/>
          <w:sz w:val="24"/>
          <w:szCs w:val="24"/>
        </w:rPr>
        <w:t>ar</w:t>
      </w:r>
      <w:r w:rsidR="00CA7BC8" w:rsidRPr="00574DF3">
        <w:rPr>
          <w:rFonts w:ascii="Times New Roman" w:eastAsia="Times New Roman" w:hAnsi="Times New Roman" w:cs="Times New Roman"/>
          <w:sz w:val="24"/>
          <w:szCs w:val="24"/>
        </w:rPr>
        <w:t xml:space="preserve"> ievestās produkcijas vērtību</w:t>
      </w:r>
      <w:r w:rsidR="00394D2E" w:rsidRPr="00574DF3">
        <w:rPr>
          <w:rFonts w:ascii="Times New Roman" w:eastAsia="Times New Roman" w:hAnsi="Times New Roman" w:cs="Times New Roman"/>
          <w:sz w:val="24"/>
          <w:szCs w:val="24"/>
        </w:rPr>
        <w:t>”</w:t>
      </w:r>
      <w:r w:rsidR="00491177" w:rsidRPr="00574DF3">
        <w:rPr>
          <w:rFonts w:ascii="Times New Roman" w:eastAsia="Times New Roman" w:hAnsi="Times New Roman" w:cs="Times New Roman"/>
          <w:sz w:val="24"/>
          <w:szCs w:val="24"/>
        </w:rPr>
        <w:t xml:space="preserve"> </w:t>
      </w:r>
      <w:r w:rsidR="00394D2E" w:rsidRPr="00574DF3">
        <w:rPr>
          <w:rFonts w:ascii="Times New Roman" w:eastAsia="Times New Roman" w:hAnsi="Times New Roman" w:cs="Times New Roman"/>
          <w:sz w:val="24"/>
          <w:szCs w:val="24"/>
        </w:rPr>
        <w:t xml:space="preserve">noteikts, lai vērtētu </w:t>
      </w:r>
      <w:r w:rsidR="00574DF3">
        <w:rPr>
          <w:rFonts w:ascii="Times New Roman" w:eastAsia="Times New Roman" w:hAnsi="Times New Roman" w:cs="Times New Roman"/>
          <w:sz w:val="24"/>
          <w:szCs w:val="24"/>
        </w:rPr>
        <w:t>izvirzītā mērķa</w:t>
      </w:r>
      <w:r w:rsidR="00372FFA">
        <w:rPr>
          <w:rFonts w:ascii="Times New Roman" w:eastAsia="Times New Roman" w:hAnsi="Times New Roman" w:cs="Times New Roman"/>
          <w:sz w:val="24"/>
          <w:szCs w:val="24"/>
        </w:rPr>
        <w:t xml:space="preserve"> – veicināt augļkopības un dārzeņkopības noz</w:t>
      </w:r>
      <w:r w:rsidR="000E10CC">
        <w:rPr>
          <w:rFonts w:ascii="Times New Roman" w:eastAsia="Times New Roman" w:hAnsi="Times New Roman" w:cs="Times New Roman"/>
          <w:sz w:val="24"/>
          <w:szCs w:val="24"/>
        </w:rPr>
        <w:t>aru attīstību</w:t>
      </w:r>
      <w:r w:rsidR="00EF5E2C">
        <w:rPr>
          <w:rFonts w:ascii="Times New Roman" w:eastAsia="Times New Roman" w:hAnsi="Times New Roman" w:cs="Times New Roman"/>
          <w:sz w:val="24"/>
          <w:szCs w:val="24"/>
        </w:rPr>
        <w:t> – sasniegšanu</w:t>
      </w:r>
      <w:r w:rsidR="000E10CC">
        <w:rPr>
          <w:rFonts w:ascii="Times New Roman" w:eastAsia="Times New Roman" w:hAnsi="Times New Roman" w:cs="Times New Roman"/>
          <w:sz w:val="24"/>
          <w:szCs w:val="24"/>
        </w:rPr>
        <w:t>.</w:t>
      </w:r>
      <w:r w:rsidR="00427342">
        <w:rPr>
          <w:rFonts w:ascii="Times New Roman" w:eastAsia="Times New Roman" w:hAnsi="Times New Roman" w:cs="Times New Roman"/>
          <w:sz w:val="24"/>
          <w:szCs w:val="24"/>
        </w:rPr>
        <w:t xml:space="preserve"> </w:t>
      </w:r>
      <w:r w:rsidR="008370B2">
        <w:rPr>
          <w:rFonts w:ascii="Times New Roman" w:eastAsia="Times New Roman" w:hAnsi="Times New Roman" w:cs="Times New Roman"/>
          <w:bCs/>
          <w:sz w:val="24"/>
          <w:szCs w:val="24"/>
        </w:rPr>
        <w:t>Paredzēts, ka</w:t>
      </w:r>
      <w:r w:rsidR="00427342">
        <w:rPr>
          <w:rFonts w:ascii="Times New Roman" w:eastAsia="Times New Roman" w:hAnsi="Times New Roman" w:cs="Times New Roman"/>
          <w:bCs/>
          <w:sz w:val="24"/>
          <w:szCs w:val="24"/>
        </w:rPr>
        <w:t xml:space="preserve"> </w:t>
      </w:r>
      <w:r w:rsidR="002804B7">
        <w:rPr>
          <w:rFonts w:ascii="Times New Roman" w:eastAsia="Times New Roman" w:hAnsi="Times New Roman" w:cs="Times New Roman"/>
          <w:bCs/>
          <w:sz w:val="24"/>
          <w:szCs w:val="24"/>
        </w:rPr>
        <w:t>Pievienotās vērtības nodokļa</w:t>
      </w:r>
      <w:r w:rsidR="00F97805">
        <w:rPr>
          <w:rFonts w:ascii="Times New Roman" w:eastAsia="Times New Roman" w:hAnsi="Times New Roman" w:cs="Times New Roman"/>
          <w:bCs/>
          <w:sz w:val="24"/>
          <w:szCs w:val="24"/>
        </w:rPr>
        <w:t xml:space="preserve"> likumā noteikto augļu, ogu un dārzeņu izaudzētās produkcijas vērtības </w:t>
      </w:r>
      <w:r w:rsidR="007341B4">
        <w:rPr>
          <w:rFonts w:ascii="Times New Roman" w:eastAsia="Times New Roman" w:hAnsi="Times New Roman" w:cs="Times New Roman"/>
          <w:bCs/>
          <w:sz w:val="24"/>
          <w:szCs w:val="24"/>
        </w:rPr>
        <w:t>gada pārmaiņ</w:t>
      </w:r>
      <w:r w:rsidR="008370B2">
        <w:rPr>
          <w:rFonts w:ascii="Times New Roman" w:eastAsia="Times New Roman" w:hAnsi="Times New Roman" w:cs="Times New Roman"/>
          <w:bCs/>
          <w:sz w:val="24"/>
          <w:szCs w:val="24"/>
        </w:rPr>
        <w:t>ām</w:t>
      </w:r>
      <w:r w:rsidR="007341B4">
        <w:rPr>
          <w:rFonts w:ascii="Times New Roman" w:eastAsia="Times New Roman" w:hAnsi="Times New Roman" w:cs="Times New Roman"/>
          <w:bCs/>
          <w:sz w:val="24"/>
          <w:szCs w:val="24"/>
        </w:rPr>
        <w:t xml:space="preserve"> </w:t>
      </w:r>
      <w:r w:rsidR="00F73EB0">
        <w:rPr>
          <w:rFonts w:ascii="Times New Roman" w:eastAsia="Times New Roman" w:hAnsi="Times New Roman" w:cs="Times New Roman"/>
          <w:bCs/>
          <w:sz w:val="24"/>
          <w:szCs w:val="24"/>
        </w:rPr>
        <w:t xml:space="preserve">procentos </w:t>
      </w:r>
      <w:r w:rsidR="007341B4">
        <w:rPr>
          <w:rFonts w:ascii="Times New Roman" w:eastAsia="Times New Roman" w:hAnsi="Times New Roman" w:cs="Times New Roman"/>
          <w:bCs/>
          <w:sz w:val="24"/>
          <w:szCs w:val="24"/>
        </w:rPr>
        <w:t xml:space="preserve">salīdzinājumā </w:t>
      </w:r>
      <w:r w:rsidR="008370B2">
        <w:rPr>
          <w:rFonts w:ascii="Times New Roman" w:eastAsia="Times New Roman" w:hAnsi="Times New Roman" w:cs="Times New Roman"/>
          <w:bCs/>
          <w:sz w:val="24"/>
          <w:szCs w:val="24"/>
        </w:rPr>
        <w:t>ar</w:t>
      </w:r>
      <w:r w:rsidR="007341B4">
        <w:rPr>
          <w:rFonts w:ascii="Times New Roman" w:eastAsia="Times New Roman" w:hAnsi="Times New Roman" w:cs="Times New Roman"/>
          <w:bCs/>
          <w:sz w:val="24"/>
          <w:szCs w:val="24"/>
        </w:rPr>
        <w:t xml:space="preserve"> ievestās </w:t>
      </w:r>
      <w:r w:rsidR="004932AE">
        <w:rPr>
          <w:rFonts w:ascii="Times New Roman" w:eastAsia="Times New Roman" w:hAnsi="Times New Roman" w:cs="Times New Roman"/>
          <w:bCs/>
          <w:sz w:val="24"/>
          <w:szCs w:val="24"/>
        </w:rPr>
        <w:t>pro</w:t>
      </w:r>
      <w:r w:rsidR="007341B4">
        <w:rPr>
          <w:rFonts w:ascii="Times New Roman" w:eastAsia="Times New Roman" w:hAnsi="Times New Roman" w:cs="Times New Roman"/>
          <w:bCs/>
          <w:sz w:val="24"/>
          <w:szCs w:val="24"/>
        </w:rPr>
        <w:t>dukcijas vērtīb</w:t>
      </w:r>
      <w:r w:rsidR="00C772EA">
        <w:rPr>
          <w:rFonts w:ascii="Times New Roman" w:eastAsia="Times New Roman" w:hAnsi="Times New Roman" w:cs="Times New Roman"/>
          <w:bCs/>
          <w:sz w:val="24"/>
          <w:szCs w:val="24"/>
        </w:rPr>
        <w:t>as gada pārmaiņām procentos</w:t>
      </w:r>
      <w:r w:rsidR="00A65BAF">
        <w:rPr>
          <w:rFonts w:ascii="Times New Roman" w:eastAsia="Times New Roman" w:hAnsi="Times New Roman" w:cs="Times New Roman"/>
          <w:bCs/>
          <w:sz w:val="24"/>
          <w:szCs w:val="24"/>
        </w:rPr>
        <w:t xml:space="preserve"> </w:t>
      </w:r>
      <w:r w:rsidR="008370B2">
        <w:rPr>
          <w:rFonts w:ascii="Times New Roman" w:eastAsia="Times New Roman" w:hAnsi="Times New Roman" w:cs="Times New Roman"/>
          <w:bCs/>
          <w:sz w:val="24"/>
          <w:szCs w:val="24"/>
        </w:rPr>
        <w:t>ik gadu jābūt</w:t>
      </w:r>
      <w:r w:rsidR="00A65BAF">
        <w:rPr>
          <w:rFonts w:ascii="Times New Roman" w:eastAsia="Times New Roman" w:hAnsi="Times New Roman" w:cs="Times New Roman"/>
          <w:bCs/>
          <w:sz w:val="24"/>
          <w:szCs w:val="24"/>
        </w:rPr>
        <w:t xml:space="preserve"> lielāk</w:t>
      </w:r>
      <w:r w:rsidR="008370B2">
        <w:rPr>
          <w:rFonts w:ascii="Times New Roman" w:eastAsia="Times New Roman" w:hAnsi="Times New Roman" w:cs="Times New Roman"/>
          <w:bCs/>
          <w:sz w:val="24"/>
          <w:szCs w:val="24"/>
        </w:rPr>
        <w:t>ām</w:t>
      </w:r>
      <w:r w:rsidR="00A65BAF">
        <w:rPr>
          <w:rFonts w:ascii="Times New Roman" w:eastAsia="Times New Roman" w:hAnsi="Times New Roman" w:cs="Times New Roman"/>
          <w:bCs/>
          <w:sz w:val="24"/>
          <w:szCs w:val="24"/>
        </w:rPr>
        <w:t xml:space="preserve"> par vienu procentpunktu.</w:t>
      </w:r>
    </w:p>
    <w:p w14:paraId="7C4447E3" w14:textId="7729D2ED" w:rsidR="00EF0DCA" w:rsidRDefault="00EF0DCA" w:rsidP="00365DAE">
      <w:pPr>
        <w:spacing w:before="120" w:after="120" w:line="240" w:lineRule="auto"/>
        <w:jc w:val="both"/>
        <w:rPr>
          <w:rFonts w:ascii="Times New Roman" w:hAnsi="Times New Roman" w:cs="Times New Roman"/>
          <w:iCs/>
          <w:sz w:val="24"/>
          <w:szCs w:val="24"/>
        </w:rPr>
      </w:pPr>
      <w:r>
        <w:rPr>
          <w:noProof/>
          <w:lang w:eastAsia="lv-LV"/>
        </w:rPr>
        <w:lastRenderedPageBreak/>
        <w:drawing>
          <wp:inline distT="0" distB="0" distL="0" distR="0" wp14:anchorId="1A8DC742" wp14:editId="0E6A715F">
            <wp:extent cx="5710136" cy="3112851"/>
            <wp:effectExtent l="0" t="0" r="5080" b="11430"/>
            <wp:docPr id="3" name="Chart 3">
              <a:extLst xmlns:a="http://schemas.openxmlformats.org/drawingml/2006/main">
                <a:ext uri="{FF2B5EF4-FFF2-40B4-BE49-F238E27FC236}">
                  <a16:creationId xmlns:a16="http://schemas.microsoft.com/office/drawing/2014/main" id="{F2C00CCE-3960-481B-B5E2-DEE4275A4D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A234BD" w14:textId="26DB084A" w:rsidR="00C9449A" w:rsidRPr="00734F1A" w:rsidRDefault="00C9449A" w:rsidP="00C9449A">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w:t>
      </w:r>
      <w:r w:rsidR="006614E2">
        <w:rPr>
          <w:rFonts w:ascii="Times New Roman" w:hAnsi="Times New Roman" w:cs="Times New Roman"/>
          <w:bCs/>
          <w:sz w:val="24"/>
          <w:szCs w:val="24"/>
        </w:rPr>
        <w:t> </w:t>
      </w:r>
      <w:r>
        <w:rPr>
          <w:rFonts w:ascii="Times New Roman" w:hAnsi="Times New Roman" w:cs="Times New Roman"/>
          <w:bCs/>
          <w:sz w:val="24"/>
          <w:szCs w:val="24"/>
        </w:rPr>
        <w:t>attēls</w:t>
      </w:r>
      <w:r w:rsidR="00EF0DCA">
        <w:rPr>
          <w:rFonts w:ascii="Times New Roman" w:hAnsi="Times New Roman" w:cs="Times New Roman"/>
          <w:bCs/>
          <w:sz w:val="24"/>
          <w:szCs w:val="24"/>
        </w:rPr>
        <w:t>.</w:t>
      </w:r>
      <w:r>
        <w:rPr>
          <w:rFonts w:ascii="Times New Roman" w:hAnsi="Times New Roman" w:cs="Times New Roman"/>
          <w:bCs/>
          <w:sz w:val="24"/>
          <w:szCs w:val="24"/>
        </w:rPr>
        <w:t xml:space="preserve"> </w:t>
      </w:r>
      <w:r w:rsidR="00454D8F">
        <w:rPr>
          <w:rFonts w:ascii="Times New Roman" w:hAnsi="Times New Roman" w:cs="Times New Roman"/>
          <w:bCs/>
          <w:sz w:val="24"/>
          <w:szCs w:val="24"/>
        </w:rPr>
        <w:t>Pievienotās vērtības nodokļa likumā noteikto a</w:t>
      </w:r>
      <w:r w:rsidRPr="00734F1A">
        <w:rPr>
          <w:rFonts w:ascii="Times New Roman" w:hAnsi="Times New Roman" w:cs="Times New Roman"/>
          <w:bCs/>
          <w:sz w:val="24"/>
          <w:szCs w:val="24"/>
        </w:rPr>
        <w:t xml:space="preserve">ugļu, ogu un dārzeņu </w:t>
      </w:r>
      <w:r w:rsidR="00F376E5">
        <w:rPr>
          <w:rFonts w:ascii="Times New Roman" w:hAnsi="Times New Roman" w:cs="Times New Roman"/>
          <w:bCs/>
          <w:sz w:val="24"/>
          <w:szCs w:val="24"/>
        </w:rPr>
        <w:t>izlaides vērtības</w:t>
      </w:r>
      <w:r w:rsidR="00C41C37">
        <w:rPr>
          <w:rFonts w:ascii="Times New Roman" w:hAnsi="Times New Roman" w:cs="Times New Roman"/>
          <w:bCs/>
          <w:sz w:val="24"/>
          <w:szCs w:val="24"/>
        </w:rPr>
        <w:t>*</w:t>
      </w:r>
      <w:r w:rsidR="00F376E5">
        <w:rPr>
          <w:rFonts w:ascii="Times New Roman" w:hAnsi="Times New Roman" w:cs="Times New Roman"/>
          <w:bCs/>
          <w:sz w:val="24"/>
          <w:szCs w:val="24"/>
        </w:rPr>
        <w:t xml:space="preserve"> gada pārmaiņas procentos salīdzinājumā ar importa vērtības gada pārmaiņām procentos </w:t>
      </w:r>
      <w:r w:rsidRPr="00734F1A">
        <w:rPr>
          <w:rFonts w:ascii="Times New Roman" w:hAnsi="Times New Roman" w:cs="Times New Roman"/>
          <w:bCs/>
          <w:sz w:val="24"/>
          <w:szCs w:val="24"/>
        </w:rPr>
        <w:t>no 2017.</w:t>
      </w:r>
      <w:r>
        <w:rPr>
          <w:rFonts w:ascii="Times New Roman" w:hAnsi="Times New Roman" w:cs="Times New Roman"/>
          <w:bCs/>
          <w:sz w:val="24"/>
          <w:szCs w:val="24"/>
        </w:rPr>
        <w:t> </w:t>
      </w:r>
      <w:r w:rsidRPr="00734F1A">
        <w:rPr>
          <w:rFonts w:ascii="Times New Roman" w:hAnsi="Times New Roman" w:cs="Times New Roman"/>
          <w:bCs/>
          <w:sz w:val="24"/>
          <w:szCs w:val="24"/>
        </w:rPr>
        <w:t xml:space="preserve">līdz </w:t>
      </w:r>
      <w:r>
        <w:rPr>
          <w:rFonts w:ascii="Times New Roman" w:hAnsi="Times New Roman" w:cs="Times New Roman"/>
          <w:bCs/>
          <w:sz w:val="24"/>
          <w:szCs w:val="24"/>
        </w:rPr>
        <w:t>2022</w:t>
      </w:r>
      <w:r w:rsidR="00E22379">
        <w:rPr>
          <w:rStyle w:val="FootnoteReference"/>
          <w:rFonts w:ascii="Times New Roman" w:hAnsi="Times New Roman" w:cs="Times New Roman"/>
          <w:bCs/>
          <w:sz w:val="24"/>
          <w:szCs w:val="24"/>
        </w:rPr>
        <w:footnoteReference w:id="9"/>
      </w:r>
      <w:r w:rsidRPr="00734F1A">
        <w:rPr>
          <w:rFonts w:ascii="Times New Roman" w:hAnsi="Times New Roman" w:cs="Times New Roman"/>
          <w:bCs/>
          <w:sz w:val="24"/>
          <w:szCs w:val="24"/>
        </w:rPr>
        <w:t>. gadam</w:t>
      </w:r>
      <w:r w:rsidR="007F6B5F">
        <w:rPr>
          <w:rFonts w:ascii="Times New Roman" w:hAnsi="Times New Roman" w:cs="Times New Roman"/>
          <w:bCs/>
          <w:sz w:val="24"/>
          <w:szCs w:val="24"/>
        </w:rPr>
        <w:t>.</w:t>
      </w:r>
    </w:p>
    <w:p w14:paraId="5ECE27A7" w14:textId="77777777" w:rsidR="00C9449A" w:rsidRPr="00734F1A" w:rsidRDefault="00C9449A" w:rsidP="00C9449A">
      <w:pPr>
        <w:spacing w:line="240" w:lineRule="auto"/>
        <w:ind w:right="-19" w:firstLine="720"/>
        <w:jc w:val="both"/>
        <w:rPr>
          <w:rFonts w:ascii="Times New Roman" w:hAnsi="Times New Roman" w:cs="Times New Roman"/>
          <w:sz w:val="20"/>
          <w:szCs w:val="20"/>
        </w:rPr>
      </w:pPr>
      <w:r w:rsidRPr="00734F1A">
        <w:rPr>
          <w:rFonts w:ascii="Times New Roman" w:hAnsi="Times New Roman" w:cs="Times New Roman"/>
          <w:bCs/>
          <w:i/>
          <w:sz w:val="20"/>
          <w:szCs w:val="20"/>
        </w:rPr>
        <w:t xml:space="preserve">Avots: </w:t>
      </w:r>
      <w:r w:rsidRPr="00734F1A">
        <w:rPr>
          <w:rFonts w:ascii="Times New Roman" w:hAnsi="Times New Roman" w:cs="Times New Roman"/>
          <w:bCs/>
          <w:sz w:val="20"/>
          <w:szCs w:val="20"/>
        </w:rPr>
        <w:t xml:space="preserve">ZM pēc </w:t>
      </w:r>
      <w:r w:rsidRPr="00C50B0D">
        <w:rPr>
          <w:rFonts w:ascii="Times New Roman" w:hAnsi="Times New Roman" w:cs="Times New Roman"/>
          <w:bCs/>
          <w:i/>
          <w:sz w:val="20"/>
          <w:szCs w:val="20"/>
        </w:rPr>
        <w:t>Eurostat</w:t>
      </w:r>
      <w:r w:rsidRPr="00734F1A">
        <w:rPr>
          <w:rFonts w:ascii="Times New Roman" w:hAnsi="Times New Roman" w:cs="Times New Roman"/>
          <w:bCs/>
          <w:sz w:val="20"/>
          <w:szCs w:val="20"/>
        </w:rPr>
        <w:t xml:space="preserve"> </w:t>
      </w:r>
      <w:r>
        <w:rPr>
          <w:rFonts w:ascii="Times New Roman" w:hAnsi="Times New Roman" w:cs="Times New Roman"/>
          <w:bCs/>
          <w:sz w:val="20"/>
          <w:szCs w:val="20"/>
        </w:rPr>
        <w:t xml:space="preserve">un </w:t>
      </w:r>
      <w:proofErr w:type="spellStart"/>
      <w:r w:rsidRPr="00734F1A">
        <w:rPr>
          <w:rFonts w:ascii="Times New Roman" w:hAnsi="Times New Roman" w:cs="Times New Roman"/>
          <w:sz w:val="20"/>
          <w:szCs w:val="20"/>
        </w:rPr>
        <w:t>Agroresursu</w:t>
      </w:r>
      <w:proofErr w:type="spellEnd"/>
      <w:r w:rsidRPr="00734F1A">
        <w:rPr>
          <w:rFonts w:ascii="Times New Roman" w:hAnsi="Times New Roman" w:cs="Times New Roman"/>
          <w:sz w:val="20"/>
          <w:szCs w:val="20"/>
        </w:rPr>
        <w:t xml:space="preserve"> un ekonomikas institūta datiem</w:t>
      </w:r>
    </w:p>
    <w:p w14:paraId="64244CCD" w14:textId="0789D371" w:rsidR="00C14C9E" w:rsidRDefault="00E37EB2" w:rsidP="00C14C9E">
      <w:pPr>
        <w:spacing w:after="0" w:line="240" w:lineRule="auto"/>
        <w:ind w:firstLine="720"/>
        <w:jc w:val="both"/>
        <w:rPr>
          <w:rFonts w:ascii="Times New Roman" w:hAnsi="Times New Roman" w:cs="Times New Roman"/>
          <w:iCs/>
          <w:sz w:val="24"/>
          <w:szCs w:val="24"/>
        </w:rPr>
      </w:pPr>
      <w:r>
        <w:rPr>
          <w:rFonts w:ascii="Times New Roman" w:hAnsi="Times New Roman" w:cs="Times New Roman"/>
          <w:bCs/>
          <w:sz w:val="24"/>
          <w:szCs w:val="24"/>
        </w:rPr>
        <w:t xml:space="preserve">Pievienotās vērtības nodokļa likumā noteikto </w:t>
      </w:r>
      <w:r>
        <w:rPr>
          <w:rFonts w:ascii="Times New Roman" w:hAnsi="Times New Roman" w:cs="Times New Roman"/>
          <w:iCs/>
          <w:sz w:val="24"/>
          <w:szCs w:val="24"/>
        </w:rPr>
        <w:t>a</w:t>
      </w:r>
      <w:r w:rsidR="00C14C9E" w:rsidRPr="00877265">
        <w:rPr>
          <w:rFonts w:ascii="Times New Roman" w:hAnsi="Times New Roman" w:cs="Times New Roman"/>
          <w:iCs/>
          <w:sz w:val="24"/>
          <w:szCs w:val="24"/>
        </w:rPr>
        <w:t>ugļu, ogu un dārzeņu i</w:t>
      </w:r>
      <w:r w:rsidR="00C14C9E">
        <w:rPr>
          <w:rFonts w:ascii="Times New Roman" w:hAnsi="Times New Roman" w:cs="Times New Roman"/>
          <w:iCs/>
          <w:sz w:val="24"/>
          <w:szCs w:val="24"/>
        </w:rPr>
        <w:t>zlaides</w:t>
      </w:r>
      <w:r w:rsidR="00C14C9E" w:rsidRPr="00877265">
        <w:rPr>
          <w:rFonts w:ascii="Times New Roman" w:hAnsi="Times New Roman" w:cs="Times New Roman"/>
          <w:iCs/>
          <w:sz w:val="24"/>
          <w:szCs w:val="24"/>
        </w:rPr>
        <w:t xml:space="preserve"> vērtība</w:t>
      </w:r>
      <w:r w:rsidR="00C14C9E">
        <w:rPr>
          <w:rFonts w:ascii="Times New Roman" w:hAnsi="Times New Roman" w:cs="Times New Roman"/>
          <w:iCs/>
          <w:sz w:val="24"/>
          <w:szCs w:val="24"/>
        </w:rPr>
        <w:t xml:space="preserve">s </w:t>
      </w:r>
      <w:r w:rsidR="008370B2">
        <w:rPr>
          <w:rFonts w:ascii="Times New Roman" w:hAnsi="Times New Roman" w:cs="Times New Roman"/>
          <w:iCs/>
          <w:sz w:val="24"/>
          <w:szCs w:val="24"/>
        </w:rPr>
        <w:t>pār</w:t>
      </w:r>
      <w:r w:rsidR="00C14C9E">
        <w:rPr>
          <w:rFonts w:ascii="Times New Roman" w:hAnsi="Times New Roman" w:cs="Times New Roman"/>
          <w:iCs/>
          <w:sz w:val="24"/>
          <w:szCs w:val="24"/>
        </w:rPr>
        <w:t>maiņas periodā no 2017. līdz 2022. gadam ir svārstīga</w:t>
      </w:r>
      <w:r>
        <w:rPr>
          <w:rFonts w:ascii="Times New Roman" w:hAnsi="Times New Roman" w:cs="Times New Roman"/>
          <w:iCs/>
          <w:sz w:val="24"/>
          <w:szCs w:val="24"/>
        </w:rPr>
        <w:t>s</w:t>
      </w:r>
      <w:r w:rsidR="008370B2">
        <w:rPr>
          <w:rFonts w:ascii="Times New Roman" w:hAnsi="Times New Roman" w:cs="Times New Roman"/>
          <w:iCs/>
          <w:sz w:val="24"/>
          <w:szCs w:val="24"/>
        </w:rPr>
        <w:t>:</w:t>
      </w:r>
      <w:r w:rsidR="00C14C9E">
        <w:rPr>
          <w:rFonts w:ascii="Times New Roman" w:hAnsi="Times New Roman" w:cs="Times New Roman"/>
          <w:iCs/>
          <w:sz w:val="24"/>
          <w:szCs w:val="24"/>
        </w:rPr>
        <w:t xml:space="preserve"> 2018. gadā salīdzinājumā ar 2017.</w:t>
      </w:r>
      <w:r w:rsidR="006614E2">
        <w:rPr>
          <w:rFonts w:ascii="Times New Roman" w:hAnsi="Times New Roman" w:cs="Times New Roman"/>
          <w:iCs/>
          <w:sz w:val="24"/>
          <w:szCs w:val="24"/>
        </w:rPr>
        <w:t> </w:t>
      </w:r>
      <w:r w:rsidR="00C14C9E">
        <w:rPr>
          <w:rFonts w:ascii="Times New Roman" w:hAnsi="Times New Roman" w:cs="Times New Roman"/>
          <w:iCs/>
          <w:sz w:val="24"/>
          <w:szCs w:val="24"/>
        </w:rPr>
        <w:t xml:space="preserve">gadu izlaides vērtība </w:t>
      </w:r>
      <w:r w:rsidR="008370B2">
        <w:rPr>
          <w:rFonts w:ascii="Times New Roman" w:hAnsi="Times New Roman" w:cs="Times New Roman"/>
          <w:iCs/>
          <w:sz w:val="24"/>
          <w:szCs w:val="24"/>
        </w:rPr>
        <w:t xml:space="preserve">ir </w:t>
      </w:r>
      <w:r w:rsidR="00C14C9E">
        <w:rPr>
          <w:rFonts w:ascii="Times New Roman" w:hAnsi="Times New Roman" w:cs="Times New Roman"/>
          <w:iCs/>
          <w:sz w:val="24"/>
          <w:szCs w:val="24"/>
        </w:rPr>
        <w:t>pieaugusi par 11</w:t>
      </w:r>
      <w:r w:rsidR="006614E2">
        <w:rPr>
          <w:rFonts w:ascii="Times New Roman" w:hAnsi="Times New Roman" w:cs="Times New Roman"/>
          <w:iCs/>
          <w:sz w:val="24"/>
          <w:szCs w:val="24"/>
        </w:rPr>
        <w:t> </w:t>
      </w:r>
      <w:r w:rsidR="00C14C9E">
        <w:rPr>
          <w:rFonts w:ascii="Times New Roman" w:hAnsi="Times New Roman" w:cs="Times New Roman"/>
          <w:iCs/>
          <w:sz w:val="24"/>
          <w:szCs w:val="24"/>
        </w:rPr>
        <w:t xml:space="preserve">%, sasniedzot 122,1 milj. </w:t>
      </w:r>
      <w:proofErr w:type="spellStart"/>
      <w:r w:rsidR="00C14C9E" w:rsidRPr="00B53756">
        <w:rPr>
          <w:rFonts w:ascii="Times New Roman" w:hAnsi="Times New Roman" w:cs="Times New Roman"/>
          <w:i/>
          <w:sz w:val="24"/>
          <w:szCs w:val="24"/>
        </w:rPr>
        <w:t>euro</w:t>
      </w:r>
      <w:proofErr w:type="spellEnd"/>
      <w:r w:rsidR="00C14C9E">
        <w:rPr>
          <w:rFonts w:ascii="Times New Roman" w:hAnsi="Times New Roman" w:cs="Times New Roman"/>
          <w:iCs/>
          <w:sz w:val="24"/>
          <w:szCs w:val="24"/>
        </w:rPr>
        <w:t>. Savukārt 2022.</w:t>
      </w:r>
      <w:r w:rsidR="008370B2">
        <w:rPr>
          <w:rFonts w:ascii="Times New Roman" w:hAnsi="Times New Roman" w:cs="Times New Roman"/>
          <w:iCs/>
          <w:sz w:val="24"/>
          <w:szCs w:val="24"/>
        </w:rPr>
        <w:t> </w:t>
      </w:r>
      <w:r w:rsidR="00C14C9E">
        <w:rPr>
          <w:rFonts w:ascii="Times New Roman" w:hAnsi="Times New Roman" w:cs="Times New Roman"/>
          <w:iCs/>
          <w:sz w:val="24"/>
          <w:szCs w:val="24"/>
        </w:rPr>
        <w:t xml:space="preserve">gada izlaides vērtība salīdzinājumā ar 2021. gadu </w:t>
      </w:r>
      <w:r w:rsidR="008370B2">
        <w:rPr>
          <w:rFonts w:ascii="Times New Roman" w:hAnsi="Times New Roman" w:cs="Times New Roman"/>
          <w:iCs/>
          <w:sz w:val="24"/>
          <w:szCs w:val="24"/>
        </w:rPr>
        <w:t xml:space="preserve">ir </w:t>
      </w:r>
      <w:r w:rsidR="00C14C9E">
        <w:rPr>
          <w:rFonts w:ascii="Times New Roman" w:hAnsi="Times New Roman" w:cs="Times New Roman"/>
          <w:iCs/>
          <w:sz w:val="24"/>
          <w:szCs w:val="24"/>
        </w:rPr>
        <w:t>pieaugusi par 54</w:t>
      </w:r>
      <w:r w:rsidR="008370B2">
        <w:rPr>
          <w:rFonts w:ascii="Times New Roman" w:hAnsi="Times New Roman" w:cs="Times New Roman"/>
          <w:iCs/>
          <w:sz w:val="24"/>
          <w:szCs w:val="24"/>
        </w:rPr>
        <w:t> </w:t>
      </w:r>
      <w:r w:rsidR="00C14C9E">
        <w:rPr>
          <w:rFonts w:ascii="Times New Roman" w:hAnsi="Times New Roman" w:cs="Times New Roman"/>
          <w:iCs/>
          <w:sz w:val="24"/>
          <w:szCs w:val="24"/>
        </w:rPr>
        <w:t>%, sasniedzot 160</w:t>
      </w:r>
      <w:r w:rsidR="008370B2">
        <w:rPr>
          <w:rFonts w:ascii="Times New Roman" w:hAnsi="Times New Roman" w:cs="Times New Roman"/>
          <w:iCs/>
          <w:sz w:val="24"/>
          <w:szCs w:val="24"/>
        </w:rPr>
        <w:t> </w:t>
      </w:r>
      <w:r w:rsidR="00C14C9E">
        <w:rPr>
          <w:rFonts w:ascii="Times New Roman" w:hAnsi="Times New Roman" w:cs="Times New Roman"/>
          <w:iCs/>
          <w:sz w:val="24"/>
          <w:szCs w:val="24"/>
        </w:rPr>
        <w:t xml:space="preserve">milj. </w:t>
      </w:r>
      <w:proofErr w:type="spellStart"/>
      <w:r w:rsidR="00C14C9E" w:rsidRPr="001141B5">
        <w:rPr>
          <w:rFonts w:ascii="Times New Roman" w:hAnsi="Times New Roman" w:cs="Times New Roman"/>
          <w:i/>
          <w:sz w:val="24"/>
          <w:szCs w:val="24"/>
        </w:rPr>
        <w:t>euro</w:t>
      </w:r>
      <w:proofErr w:type="spellEnd"/>
      <w:r w:rsidR="00C14C9E">
        <w:rPr>
          <w:rFonts w:ascii="Times New Roman" w:hAnsi="Times New Roman" w:cs="Times New Roman"/>
          <w:iCs/>
          <w:sz w:val="24"/>
          <w:szCs w:val="24"/>
        </w:rPr>
        <w:t>. Latvijas e</w:t>
      </w:r>
      <w:r w:rsidR="00C14C9E" w:rsidRPr="00754C67">
        <w:rPr>
          <w:rFonts w:ascii="Times New Roman" w:hAnsi="Times New Roman" w:cs="Times New Roman"/>
          <w:iCs/>
          <w:sz w:val="24"/>
          <w:szCs w:val="24"/>
        </w:rPr>
        <w:t xml:space="preserve">konomiskā situācija </w:t>
      </w:r>
      <w:r w:rsidR="00C14C9E">
        <w:rPr>
          <w:rFonts w:ascii="Times New Roman" w:hAnsi="Times New Roman" w:cs="Times New Roman"/>
          <w:iCs/>
          <w:sz w:val="24"/>
          <w:szCs w:val="24"/>
        </w:rPr>
        <w:t xml:space="preserve">un ārējā ekonomiskā ietekme </w:t>
      </w:r>
      <w:r w:rsidR="00C14C9E" w:rsidRPr="00754C67">
        <w:rPr>
          <w:rFonts w:ascii="Times New Roman" w:hAnsi="Times New Roman" w:cs="Times New Roman"/>
          <w:iCs/>
          <w:sz w:val="24"/>
          <w:szCs w:val="24"/>
        </w:rPr>
        <w:t>būtiski ietekmē lauksaimnieku darbību</w:t>
      </w:r>
      <w:r w:rsidR="00C14C9E">
        <w:rPr>
          <w:rFonts w:ascii="Times New Roman" w:hAnsi="Times New Roman" w:cs="Times New Roman"/>
          <w:iCs/>
          <w:sz w:val="24"/>
          <w:szCs w:val="24"/>
        </w:rPr>
        <w:t xml:space="preserve">. </w:t>
      </w:r>
      <w:r w:rsidR="008370B2">
        <w:rPr>
          <w:rFonts w:ascii="Times New Roman" w:hAnsi="Times New Roman" w:cs="Times New Roman"/>
          <w:iCs/>
          <w:sz w:val="24"/>
          <w:szCs w:val="24"/>
        </w:rPr>
        <w:t>Turklāt</w:t>
      </w:r>
      <w:r w:rsidR="00C14C9E" w:rsidRPr="00754C67">
        <w:rPr>
          <w:rFonts w:ascii="Times New Roman" w:hAnsi="Times New Roman" w:cs="Times New Roman"/>
          <w:iCs/>
          <w:sz w:val="24"/>
          <w:szCs w:val="24"/>
        </w:rPr>
        <w:t xml:space="preserve"> lauksaimniecības nozare ir ļoti atkarīga no dabas apstākļu</w:t>
      </w:r>
      <w:r w:rsidR="00C14C9E">
        <w:rPr>
          <w:rFonts w:ascii="Times New Roman" w:hAnsi="Times New Roman" w:cs="Times New Roman"/>
          <w:iCs/>
          <w:sz w:val="24"/>
          <w:szCs w:val="24"/>
        </w:rPr>
        <w:t xml:space="preserve"> </w:t>
      </w:r>
      <w:r w:rsidR="00C14C9E" w:rsidRPr="00754C67">
        <w:rPr>
          <w:rFonts w:ascii="Times New Roman" w:hAnsi="Times New Roman" w:cs="Times New Roman"/>
          <w:iCs/>
          <w:sz w:val="24"/>
          <w:szCs w:val="24"/>
        </w:rPr>
        <w:t>ietekmes konkrētā gadā</w:t>
      </w:r>
      <w:r w:rsidR="00C14C9E">
        <w:rPr>
          <w:rFonts w:ascii="Times New Roman" w:hAnsi="Times New Roman" w:cs="Times New Roman"/>
          <w:iCs/>
          <w:sz w:val="24"/>
          <w:szCs w:val="24"/>
        </w:rPr>
        <w:t>. 2020. gadā salīdzinājumā ar 2019. gadu a</w:t>
      </w:r>
      <w:r w:rsidR="00C14C9E" w:rsidRPr="00877265">
        <w:rPr>
          <w:rFonts w:ascii="Times New Roman" w:hAnsi="Times New Roman" w:cs="Times New Roman"/>
          <w:iCs/>
          <w:sz w:val="24"/>
          <w:szCs w:val="24"/>
        </w:rPr>
        <w:t>ugļu, ogu un dārzeņu i</w:t>
      </w:r>
      <w:r w:rsidR="00C14C9E">
        <w:rPr>
          <w:rFonts w:ascii="Times New Roman" w:hAnsi="Times New Roman" w:cs="Times New Roman"/>
          <w:iCs/>
          <w:sz w:val="24"/>
          <w:szCs w:val="24"/>
        </w:rPr>
        <w:t>zlaides</w:t>
      </w:r>
      <w:r w:rsidR="00C14C9E" w:rsidRPr="00877265">
        <w:rPr>
          <w:rFonts w:ascii="Times New Roman" w:hAnsi="Times New Roman" w:cs="Times New Roman"/>
          <w:iCs/>
          <w:sz w:val="24"/>
          <w:szCs w:val="24"/>
        </w:rPr>
        <w:t xml:space="preserve"> vērtība</w:t>
      </w:r>
      <w:r w:rsidR="00C14C9E">
        <w:rPr>
          <w:rFonts w:ascii="Times New Roman" w:hAnsi="Times New Roman" w:cs="Times New Roman"/>
          <w:iCs/>
          <w:sz w:val="24"/>
          <w:szCs w:val="24"/>
        </w:rPr>
        <w:t xml:space="preserve"> samazinājās par 19</w:t>
      </w:r>
      <w:r w:rsidR="008370B2">
        <w:rPr>
          <w:rFonts w:ascii="Times New Roman" w:hAnsi="Times New Roman" w:cs="Times New Roman"/>
          <w:iCs/>
          <w:sz w:val="24"/>
          <w:szCs w:val="24"/>
        </w:rPr>
        <w:t> </w:t>
      </w:r>
      <w:r w:rsidR="00C14C9E">
        <w:rPr>
          <w:rFonts w:ascii="Times New Roman" w:hAnsi="Times New Roman" w:cs="Times New Roman"/>
          <w:iCs/>
          <w:sz w:val="24"/>
          <w:szCs w:val="24"/>
        </w:rPr>
        <w:t xml:space="preserve">%, </w:t>
      </w:r>
      <w:r w:rsidR="008370B2">
        <w:rPr>
          <w:rFonts w:ascii="Times New Roman" w:hAnsi="Times New Roman" w:cs="Times New Roman"/>
          <w:iCs/>
          <w:sz w:val="24"/>
          <w:szCs w:val="24"/>
        </w:rPr>
        <w:t xml:space="preserve">bet </w:t>
      </w:r>
      <w:r w:rsidR="00C14C9E">
        <w:rPr>
          <w:rFonts w:ascii="Times New Roman" w:hAnsi="Times New Roman" w:cs="Times New Roman"/>
          <w:iCs/>
          <w:sz w:val="24"/>
          <w:szCs w:val="24"/>
        </w:rPr>
        <w:t xml:space="preserve">2021. gadā salīdzinājumā ar 2020. gadu </w:t>
      </w:r>
      <w:r w:rsidR="008370B2">
        <w:rPr>
          <w:rFonts w:ascii="Times New Roman" w:hAnsi="Times New Roman" w:cs="Times New Roman"/>
          <w:iCs/>
          <w:sz w:val="24"/>
          <w:szCs w:val="24"/>
        </w:rPr>
        <w:t xml:space="preserve">– </w:t>
      </w:r>
      <w:r w:rsidR="00C14C9E">
        <w:rPr>
          <w:rFonts w:ascii="Times New Roman" w:hAnsi="Times New Roman" w:cs="Times New Roman"/>
          <w:iCs/>
          <w:sz w:val="24"/>
          <w:szCs w:val="24"/>
        </w:rPr>
        <w:t>par 11</w:t>
      </w:r>
      <w:r w:rsidR="008370B2">
        <w:rPr>
          <w:rFonts w:ascii="Times New Roman" w:hAnsi="Times New Roman" w:cs="Times New Roman"/>
          <w:iCs/>
          <w:sz w:val="24"/>
          <w:szCs w:val="24"/>
        </w:rPr>
        <w:t xml:space="preserve"> </w:t>
      </w:r>
      <w:r w:rsidR="00C14C9E">
        <w:rPr>
          <w:rFonts w:ascii="Times New Roman" w:hAnsi="Times New Roman" w:cs="Times New Roman"/>
          <w:iCs/>
          <w:sz w:val="24"/>
          <w:szCs w:val="24"/>
        </w:rPr>
        <w:t>% (1. attēls)</w:t>
      </w:r>
      <w:r w:rsidR="008370B2">
        <w:rPr>
          <w:rFonts w:ascii="Times New Roman" w:hAnsi="Times New Roman" w:cs="Times New Roman"/>
          <w:iCs/>
          <w:sz w:val="24"/>
          <w:szCs w:val="24"/>
        </w:rPr>
        <w:t>.</w:t>
      </w:r>
      <w:r w:rsidR="00C14C9E">
        <w:rPr>
          <w:rFonts w:ascii="Times New Roman" w:hAnsi="Times New Roman" w:cs="Times New Roman"/>
          <w:iCs/>
          <w:sz w:val="24"/>
          <w:szCs w:val="24"/>
        </w:rPr>
        <w:t xml:space="preserve"> </w:t>
      </w:r>
      <w:r w:rsidR="008370B2" w:rsidRPr="00F378D1">
        <w:rPr>
          <w:rFonts w:ascii="Times New Roman" w:hAnsi="Times New Roman" w:cs="Times New Roman"/>
          <w:iCs/>
          <w:sz w:val="24"/>
          <w:szCs w:val="24"/>
        </w:rPr>
        <w:t>T</w:t>
      </w:r>
      <w:r w:rsidR="00C14C9E" w:rsidRPr="00F378D1">
        <w:rPr>
          <w:rFonts w:ascii="Times New Roman" w:hAnsi="Times New Roman" w:cs="Times New Roman"/>
          <w:iCs/>
          <w:sz w:val="24"/>
          <w:szCs w:val="24"/>
        </w:rPr>
        <w:t>as galvenokārt saistīts ar kartupeļu un dārzeņu izlaides vērtību samazinājumu Covid-19</w:t>
      </w:r>
      <w:r w:rsidR="00BE6B8A" w:rsidRPr="00F378D1">
        <w:rPr>
          <w:rFonts w:ascii="Times New Roman" w:hAnsi="Times New Roman" w:cs="Times New Roman"/>
          <w:iCs/>
          <w:sz w:val="24"/>
          <w:szCs w:val="24"/>
        </w:rPr>
        <w:t xml:space="preserve"> pandēmijas</w:t>
      </w:r>
      <w:r w:rsidR="00C14C9E" w:rsidRPr="00F378D1">
        <w:rPr>
          <w:rFonts w:ascii="Times New Roman" w:hAnsi="Times New Roman" w:cs="Times New Roman"/>
          <w:iCs/>
          <w:sz w:val="24"/>
          <w:szCs w:val="24"/>
        </w:rPr>
        <w:t>, slikto klimatisko apstākļu un cenu samazinājuma dēļ.</w:t>
      </w:r>
      <w:r w:rsidR="00C14C9E">
        <w:rPr>
          <w:rFonts w:ascii="Times New Roman" w:hAnsi="Times New Roman" w:cs="Times New Roman"/>
          <w:iCs/>
          <w:sz w:val="24"/>
          <w:szCs w:val="24"/>
        </w:rPr>
        <w:t xml:space="preserve"> </w:t>
      </w:r>
    </w:p>
    <w:p w14:paraId="5FA346A9" w14:textId="2D2FF8EC" w:rsidR="00C14C9E" w:rsidRDefault="00A34683" w:rsidP="00C14C9E">
      <w:pPr>
        <w:spacing w:after="0" w:line="240" w:lineRule="auto"/>
        <w:ind w:firstLine="720"/>
        <w:jc w:val="both"/>
        <w:rPr>
          <w:rFonts w:ascii="Times New Roman" w:hAnsi="Times New Roman" w:cs="Times New Roman"/>
          <w:i/>
          <w:sz w:val="24"/>
          <w:szCs w:val="24"/>
        </w:rPr>
      </w:pPr>
      <w:r>
        <w:rPr>
          <w:rFonts w:ascii="Times New Roman" w:hAnsi="Times New Roman" w:cs="Times New Roman"/>
          <w:iCs/>
          <w:sz w:val="24"/>
          <w:szCs w:val="24"/>
        </w:rPr>
        <w:t>B</w:t>
      </w:r>
      <w:r w:rsidR="008370B2">
        <w:rPr>
          <w:rFonts w:ascii="Times New Roman" w:hAnsi="Times New Roman" w:cs="Times New Roman"/>
          <w:iCs/>
          <w:sz w:val="24"/>
          <w:szCs w:val="24"/>
        </w:rPr>
        <w:t xml:space="preserve">ijušas svārstīgas </w:t>
      </w:r>
      <w:r w:rsidR="00C14C9E">
        <w:rPr>
          <w:rFonts w:ascii="Times New Roman" w:hAnsi="Times New Roman" w:cs="Times New Roman"/>
          <w:iCs/>
          <w:sz w:val="24"/>
          <w:szCs w:val="24"/>
        </w:rPr>
        <w:t>arī importa vērtības. 2018. gadā salīdzinājumā ar 2017. gadu a</w:t>
      </w:r>
      <w:r w:rsidR="00C14C9E" w:rsidRPr="00877265">
        <w:rPr>
          <w:rFonts w:ascii="Times New Roman" w:hAnsi="Times New Roman" w:cs="Times New Roman"/>
          <w:iCs/>
          <w:sz w:val="24"/>
          <w:szCs w:val="24"/>
        </w:rPr>
        <w:t xml:space="preserve">ugļu, ogu un dārzeņu </w:t>
      </w:r>
      <w:r w:rsidR="00C14C9E">
        <w:rPr>
          <w:rFonts w:ascii="Times New Roman" w:hAnsi="Times New Roman" w:cs="Times New Roman"/>
          <w:iCs/>
          <w:sz w:val="24"/>
          <w:szCs w:val="24"/>
        </w:rPr>
        <w:t xml:space="preserve">importa vērtība </w:t>
      </w:r>
      <w:r w:rsidR="008370B2">
        <w:rPr>
          <w:rFonts w:ascii="Times New Roman" w:hAnsi="Times New Roman" w:cs="Times New Roman"/>
          <w:iCs/>
          <w:sz w:val="24"/>
          <w:szCs w:val="24"/>
        </w:rPr>
        <w:t xml:space="preserve">ir </w:t>
      </w:r>
      <w:r w:rsidR="00C14C9E">
        <w:rPr>
          <w:rFonts w:ascii="Times New Roman" w:hAnsi="Times New Roman" w:cs="Times New Roman"/>
          <w:iCs/>
          <w:sz w:val="24"/>
          <w:szCs w:val="24"/>
        </w:rPr>
        <w:t>pieaugusi par 2</w:t>
      </w:r>
      <w:r w:rsidR="008370B2">
        <w:rPr>
          <w:rFonts w:ascii="Times New Roman" w:hAnsi="Times New Roman" w:cs="Times New Roman"/>
          <w:iCs/>
          <w:sz w:val="24"/>
          <w:szCs w:val="24"/>
        </w:rPr>
        <w:t> </w:t>
      </w:r>
      <w:r w:rsidR="00C14C9E">
        <w:rPr>
          <w:rFonts w:ascii="Times New Roman" w:hAnsi="Times New Roman" w:cs="Times New Roman"/>
          <w:iCs/>
          <w:sz w:val="24"/>
          <w:szCs w:val="24"/>
        </w:rPr>
        <w:t>%</w:t>
      </w:r>
      <w:r w:rsidR="008370B2">
        <w:rPr>
          <w:rFonts w:ascii="Times New Roman" w:hAnsi="Times New Roman" w:cs="Times New Roman"/>
          <w:iCs/>
          <w:sz w:val="24"/>
          <w:szCs w:val="24"/>
        </w:rPr>
        <w:t>,</w:t>
      </w:r>
      <w:r w:rsidR="00C14C9E">
        <w:rPr>
          <w:rFonts w:ascii="Times New Roman" w:hAnsi="Times New Roman" w:cs="Times New Roman"/>
          <w:iCs/>
          <w:sz w:val="24"/>
          <w:szCs w:val="24"/>
        </w:rPr>
        <w:t xml:space="preserve"> sasniedzot </w:t>
      </w:r>
      <w:r w:rsidR="00C14C9E" w:rsidRPr="008C7E41">
        <w:rPr>
          <w:rFonts w:ascii="Times New Roman" w:hAnsi="Times New Roman" w:cs="Times New Roman"/>
          <w:iCs/>
          <w:sz w:val="24"/>
          <w:szCs w:val="24"/>
        </w:rPr>
        <w:t xml:space="preserve">102,7 milj. </w:t>
      </w:r>
      <w:proofErr w:type="spellStart"/>
      <w:r w:rsidR="00C14C9E" w:rsidRPr="008C7E41">
        <w:rPr>
          <w:rFonts w:ascii="Times New Roman" w:hAnsi="Times New Roman" w:cs="Times New Roman"/>
          <w:i/>
          <w:sz w:val="24"/>
          <w:szCs w:val="24"/>
        </w:rPr>
        <w:t>euro</w:t>
      </w:r>
      <w:proofErr w:type="spellEnd"/>
      <w:r w:rsidR="008370B2">
        <w:rPr>
          <w:rFonts w:ascii="Times New Roman" w:hAnsi="Times New Roman" w:cs="Times New Roman"/>
          <w:iCs/>
          <w:sz w:val="24"/>
          <w:szCs w:val="24"/>
        </w:rPr>
        <w:t>, un</w:t>
      </w:r>
      <w:r w:rsidR="00C14C9E" w:rsidRPr="008C7E41">
        <w:rPr>
          <w:rFonts w:ascii="Times New Roman" w:hAnsi="Times New Roman" w:cs="Times New Roman"/>
          <w:iCs/>
          <w:sz w:val="24"/>
          <w:szCs w:val="24"/>
        </w:rPr>
        <w:t xml:space="preserve"> 2022. gad</w:t>
      </w:r>
      <w:r w:rsidR="008370B2">
        <w:rPr>
          <w:rFonts w:ascii="Times New Roman" w:hAnsi="Times New Roman" w:cs="Times New Roman"/>
          <w:iCs/>
          <w:sz w:val="24"/>
          <w:szCs w:val="24"/>
        </w:rPr>
        <w:t>ā</w:t>
      </w:r>
      <w:r w:rsidR="00C14C9E" w:rsidRPr="008C7E41">
        <w:rPr>
          <w:rFonts w:ascii="Times New Roman" w:hAnsi="Times New Roman" w:cs="Times New Roman"/>
          <w:iCs/>
          <w:sz w:val="24"/>
          <w:szCs w:val="24"/>
        </w:rPr>
        <w:t xml:space="preserve"> importa vērtība salīdzinājumā ar 2021. gadu </w:t>
      </w:r>
      <w:r w:rsidR="008370B2">
        <w:rPr>
          <w:rFonts w:ascii="Times New Roman" w:hAnsi="Times New Roman" w:cs="Times New Roman"/>
          <w:iCs/>
          <w:sz w:val="24"/>
          <w:szCs w:val="24"/>
        </w:rPr>
        <w:t xml:space="preserve">ir </w:t>
      </w:r>
      <w:r w:rsidR="00C14C9E" w:rsidRPr="008C7E41">
        <w:rPr>
          <w:rFonts w:ascii="Times New Roman" w:hAnsi="Times New Roman" w:cs="Times New Roman"/>
          <w:iCs/>
          <w:sz w:val="24"/>
          <w:szCs w:val="24"/>
        </w:rPr>
        <w:t>pieaugusi par 26</w:t>
      </w:r>
      <w:r w:rsidR="008370B2">
        <w:rPr>
          <w:rFonts w:ascii="Times New Roman" w:hAnsi="Times New Roman" w:cs="Times New Roman"/>
          <w:iCs/>
          <w:sz w:val="24"/>
          <w:szCs w:val="24"/>
        </w:rPr>
        <w:t> </w:t>
      </w:r>
      <w:r w:rsidR="00C14C9E" w:rsidRPr="008C7E41">
        <w:rPr>
          <w:rFonts w:ascii="Times New Roman" w:hAnsi="Times New Roman" w:cs="Times New Roman"/>
          <w:iCs/>
          <w:sz w:val="24"/>
          <w:szCs w:val="24"/>
        </w:rPr>
        <w:t xml:space="preserve">%, sasniedzot 175,6 milj. </w:t>
      </w:r>
      <w:proofErr w:type="spellStart"/>
      <w:r w:rsidR="00C14C9E" w:rsidRPr="008C7E41">
        <w:rPr>
          <w:rFonts w:ascii="Times New Roman" w:hAnsi="Times New Roman" w:cs="Times New Roman"/>
          <w:i/>
          <w:sz w:val="24"/>
          <w:szCs w:val="24"/>
        </w:rPr>
        <w:t>euro</w:t>
      </w:r>
      <w:proofErr w:type="spellEnd"/>
      <w:r w:rsidR="00C14C9E" w:rsidRPr="008C7E41">
        <w:rPr>
          <w:rFonts w:ascii="Times New Roman" w:hAnsi="Times New Roman" w:cs="Times New Roman"/>
          <w:i/>
          <w:sz w:val="24"/>
          <w:szCs w:val="24"/>
        </w:rPr>
        <w:t>.</w:t>
      </w:r>
    </w:p>
    <w:p w14:paraId="5F458B56" w14:textId="74048C89" w:rsidR="00454D8F" w:rsidRDefault="00C14C9E" w:rsidP="00C14C9E">
      <w:pPr>
        <w:spacing w:after="0" w:line="240" w:lineRule="auto"/>
        <w:ind w:firstLine="720"/>
        <w:jc w:val="both"/>
        <w:rPr>
          <w:rFonts w:ascii="Times New Roman" w:hAnsi="Times New Roman" w:cs="Times New Roman"/>
          <w:iCs/>
          <w:sz w:val="24"/>
          <w:szCs w:val="24"/>
        </w:rPr>
      </w:pPr>
      <w:r w:rsidRPr="00D34F99">
        <w:rPr>
          <w:rFonts w:ascii="Times New Roman" w:hAnsi="Times New Roman" w:cs="Times New Roman"/>
          <w:iCs/>
          <w:sz w:val="24"/>
          <w:szCs w:val="24"/>
        </w:rPr>
        <w:t xml:space="preserve">PVN likumā noteikto augļu, ogu un dārzeņu izaudzētās produkcijas vērtības pārmaiņas salīdzinājumā </w:t>
      </w:r>
      <w:r w:rsidR="008370B2">
        <w:rPr>
          <w:rFonts w:ascii="Times New Roman" w:hAnsi="Times New Roman" w:cs="Times New Roman"/>
          <w:iCs/>
          <w:sz w:val="24"/>
          <w:szCs w:val="24"/>
        </w:rPr>
        <w:t>ar</w:t>
      </w:r>
      <w:r w:rsidRPr="00D34F99">
        <w:rPr>
          <w:rFonts w:ascii="Times New Roman" w:hAnsi="Times New Roman" w:cs="Times New Roman"/>
          <w:iCs/>
          <w:sz w:val="24"/>
          <w:szCs w:val="24"/>
        </w:rPr>
        <w:t xml:space="preserve"> ievestās produkcijas vērtības pārmaiņām </w:t>
      </w:r>
      <w:r>
        <w:rPr>
          <w:rFonts w:ascii="Times New Roman" w:hAnsi="Times New Roman" w:cs="Times New Roman"/>
          <w:iCs/>
          <w:sz w:val="24"/>
          <w:szCs w:val="24"/>
        </w:rPr>
        <w:t xml:space="preserve">pārskata periodā arī ir </w:t>
      </w:r>
      <w:r w:rsidR="009C537D">
        <w:rPr>
          <w:rFonts w:ascii="Times New Roman" w:hAnsi="Times New Roman" w:cs="Times New Roman"/>
          <w:iCs/>
          <w:sz w:val="24"/>
          <w:szCs w:val="24"/>
        </w:rPr>
        <w:t>izteikti</w:t>
      </w:r>
      <w:r>
        <w:rPr>
          <w:rFonts w:ascii="Times New Roman" w:hAnsi="Times New Roman" w:cs="Times New Roman"/>
          <w:iCs/>
          <w:sz w:val="24"/>
          <w:szCs w:val="24"/>
        </w:rPr>
        <w:t xml:space="preserve"> svārstīgas</w:t>
      </w:r>
      <w:r w:rsidR="00454D8F">
        <w:rPr>
          <w:rFonts w:ascii="Times New Roman" w:hAnsi="Times New Roman" w:cs="Times New Roman"/>
          <w:iCs/>
          <w:sz w:val="24"/>
          <w:szCs w:val="24"/>
        </w:rPr>
        <w:t>.</w:t>
      </w:r>
    </w:p>
    <w:p w14:paraId="0C6980B5" w14:textId="4FF07A80" w:rsidR="006050DA" w:rsidRDefault="005E5456" w:rsidP="00454D8F">
      <w:pPr>
        <w:tabs>
          <w:tab w:val="left" w:pos="1134"/>
        </w:tabs>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bCs/>
          <w:sz w:val="24"/>
          <w:szCs w:val="24"/>
        </w:rPr>
        <w:t>Tādējādi</w:t>
      </w:r>
      <w:r w:rsidR="00454D8F">
        <w:rPr>
          <w:rFonts w:ascii="Times New Roman" w:eastAsia="Times New Roman" w:hAnsi="Times New Roman" w:cs="Times New Roman"/>
          <w:bCs/>
          <w:sz w:val="24"/>
          <w:szCs w:val="24"/>
        </w:rPr>
        <w:t xml:space="preserve"> </w:t>
      </w:r>
      <w:r w:rsidR="002B5DBA">
        <w:rPr>
          <w:rFonts w:ascii="Times New Roman" w:eastAsia="Times New Roman" w:hAnsi="Times New Roman" w:cs="Times New Roman"/>
          <w:bCs/>
          <w:sz w:val="24"/>
          <w:szCs w:val="24"/>
        </w:rPr>
        <w:t>2018.</w:t>
      </w:r>
      <w:r>
        <w:rPr>
          <w:rFonts w:ascii="Times New Roman" w:eastAsia="Times New Roman" w:hAnsi="Times New Roman" w:cs="Times New Roman"/>
          <w:bCs/>
          <w:sz w:val="24"/>
          <w:szCs w:val="24"/>
        </w:rPr>
        <w:t xml:space="preserve"> </w:t>
      </w:r>
      <w:r w:rsidR="005F0114">
        <w:rPr>
          <w:rFonts w:ascii="Times New Roman" w:eastAsia="Times New Roman" w:hAnsi="Times New Roman" w:cs="Times New Roman"/>
          <w:bCs/>
          <w:sz w:val="24"/>
          <w:szCs w:val="24"/>
        </w:rPr>
        <w:t>gad</w:t>
      </w:r>
      <w:r>
        <w:rPr>
          <w:rFonts w:ascii="Times New Roman" w:eastAsia="Times New Roman" w:hAnsi="Times New Roman" w:cs="Times New Roman"/>
          <w:bCs/>
          <w:sz w:val="24"/>
          <w:szCs w:val="24"/>
        </w:rPr>
        <w:t>ā</w:t>
      </w:r>
      <w:r w:rsidR="005F0114">
        <w:rPr>
          <w:rFonts w:ascii="Times New Roman" w:eastAsia="Times New Roman" w:hAnsi="Times New Roman" w:cs="Times New Roman"/>
          <w:bCs/>
          <w:sz w:val="24"/>
          <w:szCs w:val="24"/>
        </w:rPr>
        <w:t xml:space="preserve"> salīdzinājumā ar </w:t>
      </w:r>
      <w:r w:rsidR="002B5DBA">
        <w:rPr>
          <w:rFonts w:ascii="Times New Roman" w:eastAsia="Times New Roman" w:hAnsi="Times New Roman" w:cs="Times New Roman"/>
          <w:bCs/>
          <w:sz w:val="24"/>
          <w:szCs w:val="24"/>
        </w:rPr>
        <w:t>2017.gad</w:t>
      </w:r>
      <w:r w:rsidR="005F0114">
        <w:rPr>
          <w:rFonts w:ascii="Times New Roman" w:eastAsia="Times New Roman" w:hAnsi="Times New Roman" w:cs="Times New Roman"/>
          <w:bCs/>
          <w:sz w:val="24"/>
          <w:szCs w:val="24"/>
        </w:rPr>
        <w:t>u</w:t>
      </w:r>
      <w:r w:rsidR="002B5DBA">
        <w:rPr>
          <w:rFonts w:ascii="Times New Roman" w:eastAsia="Times New Roman" w:hAnsi="Times New Roman" w:cs="Times New Roman"/>
          <w:bCs/>
          <w:sz w:val="24"/>
          <w:szCs w:val="24"/>
        </w:rPr>
        <w:t xml:space="preserve"> </w:t>
      </w:r>
      <w:r w:rsidR="00454D8F">
        <w:rPr>
          <w:rFonts w:ascii="Times New Roman" w:hAnsi="Times New Roman" w:cs="Times New Roman"/>
          <w:bCs/>
          <w:sz w:val="24"/>
          <w:szCs w:val="24"/>
        </w:rPr>
        <w:t>Pievienotās vērtības nodokļa likumā noteikto a</w:t>
      </w:r>
      <w:r w:rsidR="00454D8F" w:rsidRPr="00734F1A">
        <w:rPr>
          <w:rFonts w:ascii="Times New Roman" w:hAnsi="Times New Roman" w:cs="Times New Roman"/>
          <w:bCs/>
          <w:sz w:val="24"/>
          <w:szCs w:val="24"/>
        </w:rPr>
        <w:t xml:space="preserve">ugļu, ogu un dārzeņu </w:t>
      </w:r>
      <w:r w:rsidR="00454D8F">
        <w:rPr>
          <w:rFonts w:ascii="Times New Roman" w:hAnsi="Times New Roman" w:cs="Times New Roman"/>
          <w:bCs/>
          <w:sz w:val="24"/>
          <w:szCs w:val="24"/>
        </w:rPr>
        <w:t xml:space="preserve">izlaides vērtības pārmaiņas procentos salīdzinājumā ar importa vērtības pārmaiņām procentos </w:t>
      </w:r>
      <w:r w:rsidR="00E6467A">
        <w:rPr>
          <w:rFonts w:ascii="Times New Roman" w:hAnsi="Times New Roman" w:cs="Times New Roman"/>
          <w:bCs/>
          <w:sz w:val="24"/>
          <w:szCs w:val="24"/>
        </w:rPr>
        <w:t xml:space="preserve">bija </w:t>
      </w:r>
      <w:r w:rsidR="00E6467A" w:rsidRPr="0062538E">
        <w:rPr>
          <w:rFonts w:ascii="Times New Roman" w:hAnsi="Times New Roman" w:cs="Times New Roman"/>
          <w:b/>
          <w:sz w:val="24"/>
          <w:szCs w:val="24"/>
        </w:rPr>
        <w:t xml:space="preserve">par </w:t>
      </w:r>
      <w:r>
        <w:rPr>
          <w:rFonts w:ascii="Times New Roman" w:hAnsi="Times New Roman" w:cs="Times New Roman"/>
          <w:b/>
          <w:sz w:val="24"/>
          <w:szCs w:val="24"/>
        </w:rPr>
        <w:t>deviņiem</w:t>
      </w:r>
      <w:r w:rsidR="00E6467A" w:rsidRPr="0062538E">
        <w:rPr>
          <w:rFonts w:ascii="Times New Roman" w:hAnsi="Times New Roman" w:cs="Times New Roman"/>
          <w:b/>
          <w:sz w:val="24"/>
          <w:szCs w:val="24"/>
        </w:rPr>
        <w:t xml:space="preserve"> procentpunktiem lielākas</w:t>
      </w:r>
      <w:r w:rsidR="00E6467A">
        <w:rPr>
          <w:rFonts w:ascii="Times New Roman" w:hAnsi="Times New Roman" w:cs="Times New Roman"/>
          <w:bCs/>
          <w:sz w:val="24"/>
          <w:szCs w:val="24"/>
        </w:rPr>
        <w:t xml:space="preserve">, </w:t>
      </w:r>
      <w:r>
        <w:rPr>
          <w:rFonts w:ascii="Times New Roman" w:hAnsi="Times New Roman" w:cs="Times New Roman"/>
          <w:bCs/>
          <w:sz w:val="24"/>
          <w:szCs w:val="24"/>
        </w:rPr>
        <w:t xml:space="preserve">bet </w:t>
      </w:r>
      <w:r w:rsidR="008D27D5">
        <w:rPr>
          <w:rFonts w:ascii="Times New Roman" w:hAnsi="Times New Roman" w:cs="Times New Roman"/>
          <w:bCs/>
          <w:sz w:val="24"/>
          <w:szCs w:val="24"/>
        </w:rPr>
        <w:t>2019.</w:t>
      </w:r>
      <w:r>
        <w:rPr>
          <w:rFonts w:ascii="Times New Roman" w:hAnsi="Times New Roman" w:cs="Times New Roman"/>
          <w:bCs/>
          <w:sz w:val="24"/>
          <w:szCs w:val="24"/>
        </w:rPr>
        <w:t xml:space="preserve"> </w:t>
      </w:r>
      <w:r w:rsidR="005F0114">
        <w:rPr>
          <w:rFonts w:ascii="Times New Roman" w:hAnsi="Times New Roman" w:cs="Times New Roman"/>
          <w:bCs/>
          <w:sz w:val="24"/>
          <w:szCs w:val="24"/>
        </w:rPr>
        <w:t>gad</w:t>
      </w:r>
      <w:r>
        <w:rPr>
          <w:rFonts w:ascii="Times New Roman" w:hAnsi="Times New Roman" w:cs="Times New Roman"/>
          <w:bCs/>
          <w:sz w:val="24"/>
          <w:szCs w:val="24"/>
        </w:rPr>
        <w:t>ā</w:t>
      </w:r>
      <w:r w:rsidR="005F0114">
        <w:rPr>
          <w:rFonts w:ascii="Times New Roman" w:hAnsi="Times New Roman" w:cs="Times New Roman"/>
          <w:bCs/>
          <w:sz w:val="24"/>
          <w:szCs w:val="24"/>
        </w:rPr>
        <w:t xml:space="preserve"> salīdzinājumā ar </w:t>
      </w:r>
      <w:r w:rsidR="008D27D5">
        <w:rPr>
          <w:rFonts w:ascii="Times New Roman" w:hAnsi="Times New Roman" w:cs="Times New Roman"/>
          <w:bCs/>
          <w:sz w:val="24"/>
          <w:szCs w:val="24"/>
        </w:rPr>
        <w:t>2018.</w:t>
      </w:r>
      <w:r>
        <w:rPr>
          <w:rFonts w:ascii="Times New Roman" w:hAnsi="Times New Roman" w:cs="Times New Roman"/>
          <w:bCs/>
          <w:sz w:val="24"/>
          <w:szCs w:val="24"/>
        </w:rPr>
        <w:t xml:space="preserve"> </w:t>
      </w:r>
      <w:r w:rsidR="008D27D5">
        <w:rPr>
          <w:rFonts w:ascii="Times New Roman" w:hAnsi="Times New Roman" w:cs="Times New Roman"/>
          <w:bCs/>
          <w:sz w:val="24"/>
          <w:szCs w:val="24"/>
        </w:rPr>
        <w:t>gad</w:t>
      </w:r>
      <w:r w:rsidR="005F0114">
        <w:rPr>
          <w:rFonts w:ascii="Times New Roman" w:hAnsi="Times New Roman" w:cs="Times New Roman"/>
          <w:bCs/>
          <w:sz w:val="24"/>
          <w:szCs w:val="24"/>
        </w:rPr>
        <w:t>u</w:t>
      </w:r>
      <w:r>
        <w:rPr>
          <w:rFonts w:ascii="Times New Roman" w:hAnsi="Times New Roman" w:cs="Times New Roman"/>
          <w:bCs/>
          <w:sz w:val="24"/>
          <w:szCs w:val="24"/>
        </w:rPr>
        <w:t xml:space="preserve"> –</w:t>
      </w:r>
      <w:r w:rsidR="006050DA">
        <w:rPr>
          <w:rFonts w:ascii="Times New Roman" w:hAnsi="Times New Roman" w:cs="Times New Roman"/>
          <w:bCs/>
          <w:sz w:val="24"/>
          <w:szCs w:val="24"/>
        </w:rPr>
        <w:t xml:space="preserve"> </w:t>
      </w:r>
      <w:r w:rsidR="006050DA" w:rsidRPr="00D12F4E">
        <w:rPr>
          <w:rFonts w:ascii="Times New Roman" w:hAnsi="Times New Roman" w:cs="Times New Roman"/>
          <w:b/>
          <w:sz w:val="24"/>
          <w:szCs w:val="24"/>
        </w:rPr>
        <w:t xml:space="preserve">par </w:t>
      </w:r>
      <w:r>
        <w:rPr>
          <w:rFonts w:ascii="Times New Roman" w:hAnsi="Times New Roman" w:cs="Times New Roman"/>
          <w:b/>
          <w:sz w:val="24"/>
          <w:szCs w:val="24"/>
        </w:rPr>
        <w:t>vienu</w:t>
      </w:r>
      <w:r w:rsidR="006050DA" w:rsidRPr="00D12F4E">
        <w:rPr>
          <w:rFonts w:ascii="Times New Roman" w:hAnsi="Times New Roman" w:cs="Times New Roman"/>
          <w:b/>
          <w:sz w:val="24"/>
          <w:szCs w:val="24"/>
        </w:rPr>
        <w:t xml:space="preserve"> procentpunktu lielākas</w:t>
      </w:r>
      <w:r w:rsidR="006050DA">
        <w:rPr>
          <w:rFonts w:ascii="Times New Roman" w:hAnsi="Times New Roman" w:cs="Times New Roman"/>
          <w:bCs/>
          <w:sz w:val="24"/>
          <w:szCs w:val="24"/>
        </w:rPr>
        <w:t>.</w:t>
      </w:r>
    </w:p>
    <w:p w14:paraId="5E90E0CC" w14:textId="1F6180D3" w:rsidR="00454D8F" w:rsidRDefault="00E25299" w:rsidP="00454D8F">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bCs/>
          <w:sz w:val="24"/>
          <w:szCs w:val="24"/>
        </w:rPr>
        <w:t>Savukārt</w:t>
      </w:r>
      <w:r w:rsidR="005F0114">
        <w:rPr>
          <w:rFonts w:ascii="Times New Roman" w:hAnsi="Times New Roman" w:cs="Times New Roman"/>
          <w:bCs/>
          <w:sz w:val="24"/>
          <w:szCs w:val="24"/>
        </w:rPr>
        <w:t>,</w:t>
      </w:r>
      <w:r>
        <w:rPr>
          <w:rFonts w:ascii="Times New Roman" w:hAnsi="Times New Roman" w:cs="Times New Roman"/>
          <w:bCs/>
          <w:sz w:val="24"/>
          <w:szCs w:val="24"/>
        </w:rPr>
        <w:t xml:space="preserve"> </w:t>
      </w:r>
      <w:r w:rsidR="00A80235">
        <w:rPr>
          <w:rFonts w:ascii="Times New Roman" w:hAnsi="Times New Roman" w:cs="Times New Roman"/>
          <w:bCs/>
          <w:sz w:val="24"/>
          <w:szCs w:val="24"/>
        </w:rPr>
        <w:t xml:space="preserve">analizējot </w:t>
      </w:r>
      <w:r>
        <w:rPr>
          <w:rFonts w:ascii="Times New Roman" w:hAnsi="Times New Roman" w:cs="Times New Roman"/>
          <w:bCs/>
          <w:sz w:val="24"/>
          <w:szCs w:val="24"/>
        </w:rPr>
        <w:t xml:space="preserve">situāciju </w:t>
      </w:r>
      <w:r w:rsidR="0034562D">
        <w:rPr>
          <w:rFonts w:ascii="Times New Roman" w:hAnsi="Times New Roman" w:cs="Times New Roman"/>
          <w:bCs/>
          <w:sz w:val="24"/>
          <w:szCs w:val="24"/>
        </w:rPr>
        <w:t>2020.</w:t>
      </w:r>
      <w:r w:rsidR="005E5456">
        <w:rPr>
          <w:rFonts w:ascii="Times New Roman" w:hAnsi="Times New Roman" w:cs="Times New Roman"/>
          <w:bCs/>
          <w:sz w:val="24"/>
          <w:szCs w:val="24"/>
        </w:rPr>
        <w:t xml:space="preserve"> </w:t>
      </w:r>
      <w:r w:rsidR="00A80235">
        <w:rPr>
          <w:rFonts w:ascii="Times New Roman" w:hAnsi="Times New Roman" w:cs="Times New Roman"/>
          <w:bCs/>
          <w:sz w:val="24"/>
          <w:szCs w:val="24"/>
        </w:rPr>
        <w:t xml:space="preserve">gadā salīdzinājumā ar </w:t>
      </w:r>
      <w:r w:rsidR="0034562D">
        <w:rPr>
          <w:rFonts w:ascii="Times New Roman" w:hAnsi="Times New Roman" w:cs="Times New Roman"/>
          <w:bCs/>
          <w:sz w:val="24"/>
          <w:szCs w:val="24"/>
        </w:rPr>
        <w:t>2019.</w:t>
      </w:r>
      <w:r w:rsidR="005E5456">
        <w:rPr>
          <w:rFonts w:ascii="Times New Roman" w:hAnsi="Times New Roman" w:cs="Times New Roman"/>
          <w:bCs/>
          <w:sz w:val="24"/>
          <w:szCs w:val="24"/>
        </w:rPr>
        <w:t xml:space="preserve"> </w:t>
      </w:r>
      <w:r w:rsidR="0034562D">
        <w:rPr>
          <w:rFonts w:ascii="Times New Roman" w:hAnsi="Times New Roman" w:cs="Times New Roman"/>
          <w:bCs/>
          <w:sz w:val="24"/>
          <w:szCs w:val="24"/>
        </w:rPr>
        <w:t>gad</w:t>
      </w:r>
      <w:r w:rsidR="00A80235">
        <w:rPr>
          <w:rFonts w:ascii="Times New Roman" w:hAnsi="Times New Roman" w:cs="Times New Roman"/>
          <w:bCs/>
          <w:sz w:val="24"/>
          <w:szCs w:val="24"/>
        </w:rPr>
        <w:t>u</w:t>
      </w:r>
      <w:r w:rsidR="005E5456">
        <w:rPr>
          <w:rFonts w:ascii="Times New Roman" w:hAnsi="Times New Roman" w:cs="Times New Roman"/>
          <w:bCs/>
          <w:sz w:val="24"/>
          <w:szCs w:val="24"/>
        </w:rPr>
        <w:t>,</w:t>
      </w:r>
      <w:r>
        <w:rPr>
          <w:rFonts w:ascii="Times New Roman" w:hAnsi="Times New Roman" w:cs="Times New Roman"/>
          <w:bCs/>
          <w:sz w:val="24"/>
          <w:szCs w:val="24"/>
        </w:rPr>
        <w:t xml:space="preserve"> novērojams ievērojams kritums</w:t>
      </w:r>
      <w:r w:rsidR="005E5456">
        <w:rPr>
          <w:rFonts w:ascii="Times New Roman" w:hAnsi="Times New Roman" w:cs="Times New Roman"/>
          <w:bCs/>
          <w:sz w:val="24"/>
          <w:szCs w:val="24"/>
        </w:rPr>
        <w:t>:</w:t>
      </w:r>
      <w:r>
        <w:rPr>
          <w:rFonts w:ascii="Times New Roman" w:hAnsi="Times New Roman" w:cs="Times New Roman"/>
          <w:bCs/>
          <w:sz w:val="24"/>
          <w:szCs w:val="24"/>
        </w:rPr>
        <w:t xml:space="preserve"> Pievienotās vērtības nodokļa likumā noteikto a</w:t>
      </w:r>
      <w:r w:rsidRPr="00734F1A">
        <w:rPr>
          <w:rFonts w:ascii="Times New Roman" w:hAnsi="Times New Roman" w:cs="Times New Roman"/>
          <w:bCs/>
          <w:sz w:val="24"/>
          <w:szCs w:val="24"/>
        </w:rPr>
        <w:t xml:space="preserve">ugļu, ogu un dārzeņu </w:t>
      </w:r>
      <w:r>
        <w:rPr>
          <w:rFonts w:ascii="Times New Roman" w:hAnsi="Times New Roman" w:cs="Times New Roman"/>
          <w:bCs/>
          <w:sz w:val="24"/>
          <w:szCs w:val="24"/>
        </w:rPr>
        <w:t xml:space="preserve">izlaides vērtības gada pārmaiņas procentos salīdzinājumā ar importa vērtības gada pārmaiņām procentos </w:t>
      </w:r>
      <w:r w:rsidRPr="0062538E">
        <w:rPr>
          <w:rFonts w:ascii="Times New Roman" w:hAnsi="Times New Roman" w:cs="Times New Roman"/>
          <w:b/>
          <w:sz w:val="24"/>
          <w:szCs w:val="24"/>
        </w:rPr>
        <w:t>bija par 15 procentpunktiem mazākas</w:t>
      </w:r>
      <w:r w:rsidR="005E5456">
        <w:rPr>
          <w:rFonts w:ascii="Times New Roman" w:hAnsi="Times New Roman" w:cs="Times New Roman"/>
          <w:bCs/>
          <w:sz w:val="24"/>
          <w:szCs w:val="24"/>
        </w:rPr>
        <w:t>.</w:t>
      </w:r>
      <w:r>
        <w:rPr>
          <w:rFonts w:ascii="Times New Roman" w:hAnsi="Times New Roman" w:cs="Times New Roman"/>
          <w:bCs/>
          <w:sz w:val="24"/>
          <w:szCs w:val="24"/>
        </w:rPr>
        <w:t xml:space="preserve"> </w:t>
      </w:r>
      <w:r w:rsidR="005E5456">
        <w:rPr>
          <w:rFonts w:ascii="Times New Roman" w:hAnsi="Times New Roman" w:cs="Times New Roman"/>
          <w:bCs/>
          <w:sz w:val="24"/>
          <w:szCs w:val="24"/>
        </w:rPr>
        <w:t>T</w:t>
      </w:r>
      <w:r>
        <w:rPr>
          <w:rFonts w:ascii="Times New Roman" w:hAnsi="Times New Roman" w:cs="Times New Roman"/>
          <w:bCs/>
          <w:sz w:val="24"/>
          <w:szCs w:val="24"/>
        </w:rPr>
        <w:t>as izskaidrojam</w:t>
      </w:r>
      <w:r w:rsidR="0062538E">
        <w:rPr>
          <w:rFonts w:ascii="Times New Roman" w:hAnsi="Times New Roman" w:cs="Times New Roman"/>
          <w:bCs/>
          <w:sz w:val="24"/>
          <w:szCs w:val="24"/>
        </w:rPr>
        <w:t xml:space="preserve">s </w:t>
      </w:r>
      <w:r w:rsidR="0062538E" w:rsidRPr="00A80235">
        <w:rPr>
          <w:rFonts w:ascii="Times New Roman" w:hAnsi="Times New Roman" w:cs="Times New Roman"/>
          <w:bCs/>
          <w:sz w:val="24"/>
          <w:szCs w:val="24"/>
        </w:rPr>
        <w:t xml:space="preserve">gan ar </w:t>
      </w:r>
      <w:proofErr w:type="spellStart"/>
      <w:r w:rsidR="0062538E" w:rsidRPr="00A80235">
        <w:rPr>
          <w:rFonts w:ascii="Times New Roman" w:hAnsi="Times New Roman" w:cs="Times New Roman"/>
          <w:bCs/>
          <w:sz w:val="24"/>
          <w:szCs w:val="24"/>
        </w:rPr>
        <w:t>Covid-19</w:t>
      </w:r>
      <w:proofErr w:type="spellEnd"/>
      <w:r w:rsidR="0062538E" w:rsidRPr="00A80235">
        <w:rPr>
          <w:rFonts w:ascii="Times New Roman" w:hAnsi="Times New Roman" w:cs="Times New Roman"/>
          <w:bCs/>
          <w:sz w:val="24"/>
          <w:szCs w:val="24"/>
        </w:rPr>
        <w:t xml:space="preserve"> pandēmiju</w:t>
      </w:r>
      <w:r w:rsidR="004D62EC" w:rsidRPr="00A80235">
        <w:rPr>
          <w:rFonts w:ascii="Times New Roman" w:hAnsi="Times New Roman" w:cs="Times New Roman"/>
          <w:bCs/>
          <w:sz w:val="24"/>
          <w:szCs w:val="24"/>
        </w:rPr>
        <w:t>, kas ietekmēja visu augļkopības un dārzeņkopības n</w:t>
      </w:r>
      <w:r w:rsidR="00326838" w:rsidRPr="00A80235">
        <w:rPr>
          <w:rFonts w:ascii="Times New Roman" w:hAnsi="Times New Roman" w:cs="Times New Roman"/>
          <w:bCs/>
          <w:sz w:val="24"/>
          <w:szCs w:val="24"/>
        </w:rPr>
        <w:t>ozari</w:t>
      </w:r>
      <w:r w:rsidR="0062538E" w:rsidRPr="00A80235">
        <w:rPr>
          <w:rFonts w:ascii="Times New Roman" w:hAnsi="Times New Roman" w:cs="Times New Roman"/>
          <w:bCs/>
          <w:sz w:val="24"/>
          <w:szCs w:val="24"/>
        </w:rPr>
        <w:t xml:space="preserve">, </w:t>
      </w:r>
      <w:r w:rsidR="00326838" w:rsidRPr="00A80235">
        <w:rPr>
          <w:rFonts w:ascii="Times New Roman" w:hAnsi="Times New Roman" w:cs="Times New Roman"/>
          <w:bCs/>
          <w:sz w:val="24"/>
          <w:szCs w:val="24"/>
        </w:rPr>
        <w:t>gan</w:t>
      </w:r>
      <w:r w:rsidR="00A80235" w:rsidRPr="00A80235">
        <w:rPr>
          <w:rFonts w:ascii="Times New Roman" w:hAnsi="Times New Roman" w:cs="Times New Roman"/>
          <w:bCs/>
          <w:sz w:val="24"/>
          <w:szCs w:val="24"/>
        </w:rPr>
        <w:t xml:space="preserve"> ar</w:t>
      </w:r>
      <w:r w:rsidR="00326838" w:rsidRPr="00A80235">
        <w:rPr>
          <w:rFonts w:ascii="Times New Roman" w:hAnsi="Times New Roman" w:cs="Times New Roman"/>
          <w:bCs/>
          <w:sz w:val="24"/>
          <w:szCs w:val="24"/>
        </w:rPr>
        <w:t xml:space="preserve"> </w:t>
      </w:r>
      <w:r w:rsidR="00A80235" w:rsidRPr="00A80235">
        <w:rPr>
          <w:rFonts w:ascii="Times New Roman" w:hAnsi="Times New Roman" w:cs="Times New Roman"/>
          <w:iCs/>
          <w:sz w:val="24"/>
          <w:szCs w:val="24"/>
        </w:rPr>
        <w:t>nelabvēlīg</w:t>
      </w:r>
      <w:r w:rsidR="005E5456">
        <w:rPr>
          <w:rFonts w:ascii="Times New Roman" w:hAnsi="Times New Roman" w:cs="Times New Roman"/>
          <w:iCs/>
          <w:sz w:val="24"/>
          <w:szCs w:val="24"/>
        </w:rPr>
        <w:t>ajiem</w:t>
      </w:r>
      <w:r w:rsidR="0062538E" w:rsidRPr="00A80235">
        <w:rPr>
          <w:rFonts w:ascii="Times New Roman" w:hAnsi="Times New Roman" w:cs="Times New Roman"/>
          <w:iCs/>
          <w:sz w:val="24"/>
          <w:szCs w:val="24"/>
        </w:rPr>
        <w:t xml:space="preserve"> </w:t>
      </w:r>
      <w:r w:rsidR="0062538E" w:rsidRPr="00A80235">
        <w:rPr>
          <w:rFonts w:ascii="Times New Roman" w:hAnsi="Times New Roman" w:cs="Times New Roman"/>
          <w:iCs/>
          <w:sz w:val="24"/>
          <w:szCs w:val="24"/>
        </w:rPr>
        <w:lastRenderedPageBreak/>
        <w:t>klimatisk</w:t>
      </w:r>
      <w:r w:rsidR="005E5456">
        <w:rPr>
          <w:rFonts w:ascii="Times New Roman" w:hAnsi="Times New Roman" w:cs="Times New Roman"/>
          <w:iCs/>
          <w:sz w:val="24"/>
          <w:szCs w:val="24"/>
        </w:rPr>
        <w:t>ajiem</w:t>
      </w:r>
      <w:r w:rsidR="0062538E" w:rsidRPr="00A80235">
        <w:rPr>
          <w:rFonts w:ascii="Times New Roman" w:hAnsi="Times New Roman" w:cs="Times New Roman"/>
          <w:iCs/>
          <w:sz w:val="24"/>
          <w:szCs w:val="24"/>
        </w:rPr>
        <w:t xml:space="preserve"> apstākļ</w:t>
      </w:r>
      <w:r w:rsidR="005E5456">
        <w:rPr>
          <w:rFonts w:ascii="Times New Roman" w:hAnsi="Times New Roman" w:cs="Times New Roman"/>
          <w:iCs/>
          <w:sz w:val="24"/>
          <w:szCs w:val="24"/>
        </w:rPr>
        <w:t>iem</w:t>
      </w:r>
      <w:r w:rsidR="0062538E" w:rsidRPr="00A80235">
        <w:rPr>
          <w:rFonts w:ascii="Times New Roman" w:hAnsi="Times New Roman" w:cs="Times New Roman"/>
          <w:iCs/>
          <w:sz w:val="24"/>
          <w:szCs w:val="24"/>
        </w:rPr>
        <w:t xml:space="preserve"> un cenu samazinājum</w:t>
      </w:r>
      <w:r w:rsidR="005E5456">
        <w:rPr>
          <w:rFonts w:ascii="Times New Roman" w:hAnsi="Times New Roman" w:cs="Times New Roman"/>
          <w:iCs/>
          <w:sz w:val="24"/>
          <w:szCs w:val="24"/>
        </w:rPr>
        <w:t>u</w:t>
      </w:r>
      <w:r w:rsidR="005702E0" w:rsidRPr="00A80235">
        <w:rPr>
          <w:rFonts w:ascii="Times New Roman" w:hAnsi="Times New Roman" w:cs="Times New Roman"/>
          <w:iCs/>
          <w:sz w:val="24"/>
          <w:szCs w:val="24"/>
        </w:rPr>
        <w:t xml:space="preserve">, kas galvenokārt ietekmēja </w:t>
      </w:r>
      <w:r w:rsidR="0062538E" w:rsidRPr="00A80235">
        <w:rPr>
          <w:rFonts w:ascii="Times New Roman" w:hAnsi="Times New Roman" w:cs="Times New Roman"/>
          <w:iCs/>
          <w:sz w:val="24"/>
          <w:szCs w:val="24"/>
        </w:rPr>
        <w:t>dārzeņu un kartupeļu</w:t>
      </w:r>
      <w:r w:rsidR="005702E0" w:rsidRPr="00A80235">
        <w:rPr>
          <w:rFonts w:ascii="Times New Roman" w:hAnsi="Times New Roman" w:cs="Times New Roman"/>
          <w:iCs/>
          <w:sz w:val="24"/>
          <w:szCs w:val="24"/>
        </w:rPr>
        <w:t xml:space="preserve"> audzētājus,</w:t>
      </w:r>
      <w:r w:rsidR="00A80235" w:rsidRPr="00A80235">
        <w:rPr>
          <w:rFonts w:ascii="Times New Roman" w:hAnsi="Times New Roman" w:cs="Times New Roman"/>
          <w:iCs/>
          <w:sz w:val="24"/>
          <w:szCs w:val="24"/>
        </w:rPr>
        <w:t xml:space="preserve"> </w:t>
      </w:r>
      <w:r w:rsidR="005E5456">
        <w:rPr>
          <w:rFonts w:ascii="Times New Roman" w:hAnsi="Times New Roman" w:cs="Times New Roman"/>
          <w:iCs/>
          <w:sz w:val="24"/>
          <w:szCs w:val="24"/>
        </w:rPr>
        <w:t>tāpēc</w:t>
      </w:r>
      <w:r w:rsidR="005702E0" w:rsidRPr="00A80235">
        <w:rPr>
          <w:rFonts w:ascii="Times New Roman" w:hAnsi="Times New Roman" w:cs="Times New Roman"/>
          <w:iCs/>
          <w:sz w:val="24"/>
          <w:szCs w:val="24"/>
        </w:rPr>
        <w:t xml:space="preserve"> to</w:t>
      </w:r>
      <w:r w:rsidR="0062538E" w:rsidRPr="00A80235">
        <w:rPr>
          <w:rFonts w:ascii="Times New Roman" w:hAnsi="Times New Roman" w:cs="Times New Roman"/>
          <w:iCs/>
          <w:sz w:val="24"/>
          <w:szCs w:val="24"/>
        </w:rPr>
        <w:t xml:space="preserve"> </w:t>
      </w:r>
      <w:r w:rsidR="005E5456">
        <w:rPr>
          <w:rFonts w:ascii="Times New Roman" w:hAnsi="Times New Roman" w:cs="Times New Roman"/>
          <w:iCs/>
          <w:sz w:val="24"/>
          <w:szCs w:val="24"/>
        </w:rPr>
        <w:t xml:space="preserve">ražotās produkcijas </w:t>
      </w:r>
      <w:r w:rsidR="0062538E" w:rsidRPr="00A80235">
        <w:rPr>
          <w:rFonts w:ascii="Times New Roman" w:hAnsi="Times New Roman" w:cs="Times New Roman"/>
          <w:iCs/>
          <w:sz w:val="24"/>
          <w:szCs w:val="24"/>
        </w:rPr>
        <w:t xml:space="preserve">izlaides vērtība </w:t>
      </w:r>
      <w:r w:rsidR="005E5456">
        <w:rPr>
          <w:rFonts w:ascii="Times New Roman" w:hAnsi="Times New Roman" w:cs="Times New Roman"/>
          <w:iCs/>
          <w:sz w:val="24"/>
          <w:szCs w:val="24"/>
        </w:rPr>
        <w:t>ievērojam</w:t>
      </w:r>
      <w:r w:rsidR="0062538E" w:rsidRPr="00A80235">
        <w:rPr>
          <w:rFonts w:ascii="Times New Roman" w:hAnsi="Times New Roman" w:cs="Times New Roman"/>
          <w:iCs/>
          <w:sz w:val="24"/>
          <w:szCs w:val="24"/>
        </w:rPr>
        <w:t>i samazinājās.</w:t>
      </w:r>
    </w:p>
    <w:p w14:paraId="08C51883" w14:textId="2128D06D" w:rsidR="009642BB" w:rsidRDefault="009642BB" w:rsidP="00454D8F">
      <w:pPr>
        <w:tabs>
          <w:tab w:val="left" w:pos="1134"/>
        </w:tabs>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Vērtējot situāciju 2021.</w:t>
      </w:r>
      <w:r w:rsidR="005E5456">
        <w:rPr>
          <w:rFonts w:ascii="Times New Roman" w:hAnsi="Times New Roman" w:cs="Times New Roman"/>
          <w:bCs/>
          <w:sz w:val="24"/>
          <w:szCs w:val="24"/>
        </w:rPr>
        <w:t xml:space="preserve"> </w:t>
      </w:r>
      <w:r w:rsidR="00F80548">
        <w:rPr>
          <w:rFonts w:ascii="Times New Roman" w:hAnsi="Times New Roman" w:cs="Times New Roman"/>
          <w:bCs/>
          <w:sz w:val="24"/>
          <w:szCs w:val="24"/>
        </w:rPr>
        <w:t xml:space="preserve">gadā salīdzinājumā ar </w:t>
      </w:r>
      <w:r>
        <w:rPr>
          <w:rFonts w:ascii="Times New Roman" w:hAnsi="Times New Roman" w:cs="Times New Roman"/>
          <w:bCs/>
          <w:sz w:val="24"/>
          <w:szCs w:val="24"/>
        </w:rPr>
        <w:t>2020.</w:t>
      </w:r>
      <w:r w:rsidR="005E5456">
        <w:rPr>
          <w:rFonts w:ascii="Times New Roman" w:hAnsi="Times New Roman" w:cs="Times New Roman"/>
          <w:bCs/>
          <w:sz w:val="24"/>
          <w:szCs w:val="24"/>
        </w:rPr>
        <w:t xml:space="preserve"> </w:t>
      </w:r>
      <w:r>
        <w:rPr>
          <w:rFonts w:ascii="Times New Roman" w:hAnsi="Times New Roman" w:cs="Times New Roman"/>
          <w:bCs/>
          <w:sz w:val="24"/>
          <w:szCs w:val="24"/>
        </w:rPr>
        <w:t>gad</w:t>
      </w:r>
      <w:r w:rsidR="00F80548">
        <w:rPr>
          <w:rFonts w:ascii="Times New Roman" w:hAnsi="Times New Roman" w:cs="Times New Roman"/>
          <w:bCs/>
          <w:sz w:val="24"/>
          <w:szCs w:val="24"/>
        </w:rPr>
        <w:t>u</w:t>
      </w:r>
      <w:r>
        <w:rPr>
          <w:rFonts w:ascii="Times New Roman" w:hAnsi="Times New Roman" w:cs="Times New Roman"/>
          <w:bCs/>
          <w:sz w:val="24"/>
          <w:szCs w:val="24"/>
        </w:rPr>
        <w:t xml:space="preserve">, </w:t>
      </w:r>
      <w:r w:rsidR="00EF5E2C">
        <w:rPr>
          <w:rFonts w:ascii="Times New Roman" w:hAnsi="Times New Roman" w:cs="Times New Roman"/>
          <w:b/>
          <w:sz w:val="24"/>
          <w:szCs w:val="24"/>
        </w:rPr>
        <w:t>nebija</w:t>
      </w:r>
      <w:r w:rsidR="00EF5E2C">
        <w:rPr>
          <w:rFonts w:ascii="Times New Roman" w:hAnsi="Times New Roman" w:cs="Times New Roman"/>
          <w:bCs/>
          <w:sz w:val="24"/>
          <w:szCs w:val="24"/>
        </w:rPr>
        <w:t xml:space="preserve"> </w:t>
      </w:r>
      <w:r>
        <w:rPr>
          <w:rFonts w:ascii="Times New Roman" w:hAnsi="Times New Roman" w:cs="Times New Roman"/>
          <w:bCs/>
          <w:sz w:val="24"/>
          <w:szCs w:val="24"/>
        </w:rPr>
        <w:t>Pievienotās vērtības nodokļa likumā noteikto a</w:t>
      </w:r>
      <w:r w:rsidRPr="00734F1A">
        <w:rPr>
          <w:rFonts w:ascii="Times New Roman" w:hAnsi="Times New Roman" w:cs="Times New Roman"/>
          <w:bCs/>
          <w:sz w:val="24"/>
          <w:szCs w:val="24"/>
        </w:rPr>
        <w:t xml:space="preserve">ugļu, ogu un dārzeņu </w:t>
      </w:r>
      <w:r>
        <w:rPr>
          <w:rFonts w:ascii="Times New Roman" w:hAnsi="Times New Roman" w:cs="Times New Roman"/>
          <w:bCs/>
          <w:sz w:val="24"/>
          <w:szCs w:val="24"/>
        </w:rPr>
        <w:t>izlaides vērtības gada pārmaiņ</w:t>
      </w:r>
      <w:r w:rsidR="00EF5E2C">
        <w:rPr>
          <w:rFonts w:ascii="Times New Roman" w:hAnsi="Times New Roman" w:cs="Times New Roman"/>
          <w:bCs/>
          <w:sz w:val="24"/>
          <w:szCs w:val="24"/>
        </w:rPr>
        <w:t>u</w:t>
      </w:r>
      <w:r>
        <w:rPr>
          <w:rFonts w:ascii="Times New Roman" w:hAnsi="Times New Roman" w:cs="Times New Roman"/>
          <w:bCs/>
          <w:sz w:val="24"/>
          <w:szCs w:val="24"/>
        </w:rPr>
        <w:t xml:space="preserve"> procentos salīdzinājumā ar importa vērtības gada pārmaiņām procentos</w:t>
      </w:r>
      <w:r w:rsidR="002213C1" w:rsidRPr="00D62566">
        <w:rPr>
          <w:rFonts w:ascii="Times New Roman" w:hAnsi="Times New Roman" w:cs="Times New Roman"/>
          <w:sz w:val="24"/>
          <w:szCs w:val="24"/>
        </w:rPr>
        <w:t>.</w:t>
      </w:r>
    </w:p>
    <w:p w14:paraId="6D7A6CB1" w14:textId="5E4C9465" w:rsidR="004973C9" w:rsidRPr="00BF5327" w:rsidRDefault="008058C2" w:rsidP="00BF5327">
      <w:pPr>
        <w:tabs>
          <w:tab w:val="left" w:pos="1134"/>
        </w:tabs>
        <w:spacing w:after="0" w:line="240" w:lineRule="auto"/>
        <w:ind w:firstLine="709"/>
        <w:jc w:val="both"/>
        <w:rPr>
          <w:rFonts w:ascii="Times New Roman" w:hAnsi="Times New Roman" w:cs="Times New Roman"/>
          <w:bCs/>
          <w:sz w:val="24"/>
          <w:szCs w:val="24"/>
        </w:rPr>
      </w:pPr>
      <w:r w:rsidRPr="002B5DBA">
        <w:rPr>
          <w:rFonts w:ascii="Times New Roman" w:hAnsi="Times New Roman" w:cs="Times New Roman"/>
          <w:bCs/>
          <w:sz w:val="24"/>
          <w:szCs w:val="24"/>
        </w:rPr>
        <w:t>Situācijas uzlabošan</w:t>
      </w:r>
      <w:r w:rsidR="00EF5E2C">
        <w:rPr>
          <w:rFonts w:ascii="Times New Roman" w:hAnsi="Times New Roman" w:cs="Times New Roman"/>
          <w:bCs/>
          <w:sz w:val="24"/>
          <w:szCs w:val="24"/>
        </w:rPr>
        <w:t>ā</w:t>
      </w:r>
      <w:r w:rsidRPr="002B5DBA">
        <w:rPr>
          <w:rFonts w:ascii="Times New Roman" w:hAnsi="Times New Roman" w:cs="Times New Roman"/>
          <w:bCs/>
          <w:sz w:val="24"/>
          <w:szCs w:val="24"/>
        </w:rPr>
        <w:t xml:space="preserve">s </w:t>
      </w:r>
      <w:r w:rsidR="002937DF" w:rsidRPr="002B5DBA">
        <w:rPr>
          <w:rFonts w:ascii="Times New Roman" w:hAnsi="Times New Roman" w:cs="Times New Roman"/>
          <w:bCs/>
          <w:sz w:val="24"/>
          <w:szCs w:val="24"/>
        </w:rPr>
        <w:t>novērojam</w:t>
      </w:r>
      <w:r w:rsidR="00EF5E2C">
        <w:rPr>
          <w:rFonts w:ascii="Times New Roman" w:hAnsi="Times New Roman" w:cs="Times New Roman"/>
          <w:bCs/>
          <w:sz w:val="24"/>
          <w:szCs w:val="24"/>
        </w:rPr>
        <w:t>a</w:t>
      </w:r>
      <w:r w:rsidR="00CF2F83" w:rsidRPr="002B5DBA">
        <w:rPr>
          <w:rFonts w:ascii="Times New Roman" w:hAnsi="Times New Roman" w:cs="Times New Roman"/>
          <w:bCs/>
          <w:sz w:val="24"/>
          <w:szCs w:val="24"/>
        </w:rPr>
        <w:t xml:space="preserve"> 2022.</w:t>
      </w:r>
      <w:r w:rsidR="00EF5E2C">
        <w:rPr>
          <w:rFonts w:ascii="Times New Roman" w:hAnsi="Times New Roman" w:cs="Times New Roman"/>
          <w:bCs/>
          <w:sz w:val="24"/>
          <w:szCs w:val="24"/>
        </w:rPr>
        <w:t xml:space="preserve"> </w:t>
      </w:r>
      <w:r w:rsidR="00CF2F83" w:rsidRPr="002B5DBA">
        <w:rPr>
          <w:rFonts w:ascii="Times New Roman" w:hAnsi="Times New Roman" w:cs="Times New Roman"/>
          <w:bCs/>
          <w:sz w:val="24"/>
          <w:szCs w:val="24"/>
        </w:rPr>
        <w:t>gadā</w:t>
      </w:r>
      <w:r w:rsidR="00F80548">
        <w:rPr>
          <w:rFonts w:ascii="Times New Roman" w:hAnsi="Times New Roman" w:cs="Times New Roman"/>
          <w:bCs/>
          <w:sz w:val="24"/>
          <w:szCs w:val="24"/>
        </w:rPr>
        <w:t>, salīdzinot to ar 2021.</w:t>
      </w:r>
      <w:r w:rsidR="00EF5E2C">
        <w:rPr>
          <w:rFonts w:ascii="Times New Roman" w:hAnsi="Times New Roman" w:cs="Times New Roman"/>
          <w:bCs/>
          <w:sz w:val="24"/>
          <w:szCs w:val="24"/>
        </w:rPr>
        <w:t xml:space="preserve"> </w:t>
      </w:r>
      <w:r w:rsidR="00F80548">
        <w:rPr>
          <w:rFonts w:ascii="Times New Roman" w:hAnsi="Times New Roman" w:cs="Times New Roman"/>
          <w:bCs/>
          <w:sz w:val="24"/>
          <w:szCs w:val="24"/>
        </w:rPr>
        <w:t>gadu</w:t>
      </w:r>
      <w:r w:rsidR="00BA7651" w:rsidRPr="002B5DBA">
        <w:rPr>
          <w:rFonts w:ascii="Times New Roman" w:hAnsi="Times New Roman" w:cs="Times New Roman"/>
          <w:bCs/>
          <w:sz w:val="24"/>
          <w:szCs w:val="24"/>
        </w:rPr>
        <w:t>,</w:t>
      </w:r>
      <w:r w:rsidR="002937DF" w:rsidRPr="002B5DBA">
        <w:rPr>
          <w:rFonts w:ascii="Times New Roman" w:hAnsi="Times New Roman" w:cs="Times New Roman"/>
          <w:bCs/>
          <w:sz w:val="24"/>
          <w:szCs w:val="24"/>
        </w:rPr>
        <w:t xml:space="preserve"> </w:t>
      </w:r>
      <w:r w:rsidR="00964ACA" w:rsidRPr="002B5DBA">
        <w:rPr>
          <w:rFonts w:ascii="Times New Roman" w:hAnsi="Times New Roman" w:cs="Times New Roman"/>
          <w:bCs/>
          <w:sz w:val="24"/>
          <w:szCs w:val="24"/>
        </w:rPr>
        <w:t>kad</w:t>
      </w:r>
      <w:r w:rsidR="002937DF">
        <w:rPr>
          <w:rFonts w:ascii="Times New Roman" w:hAnsi="Times New Roman" w:cs="Times New Roman"/>
          <w:b/>
          <w:sz w:val="24"/>
          <w:szCs w:val="24"/>
        </w:rPr>
        <w:t xml:space="preserve"> </w:t>
      </w:r>
      <w:r w:rsidR="00BA7651">
        <w:rPr>
          <w:rFonts w:ascii="Times New Roman" w:hAnsi="Times New Roman" w:cs="Times New Roman"/>
          <w:bCs/>
          <w:sz w:val="24"/>
          <w:szCs w:val="24"/>
        </w:rPr>
        <w:t>Pievienotās vērtības nodokļa likumā noteikto a</w:t>
      </w:r>
      <w:r w:rsidR="00BA7651" w:rsidRPr="00734F1A">
        <w:rPr>
          <w:rFonts w:ascii="Times New Roman" w:hAnsi="Times New Roman" w:cs="Times New Roman"/>
          <w:bCs/>
          <w:sz w:val="24"/>
          <w:szCs w:val="24"/>
        </w:rPr>
        <w:t xml:space="preserve">ugļu, ogu un dārzeņu </w:t>
      </w:r>
      <w:r w:rsidR="00BA7651">
        <w:rPr>
          <w:rFonts w:ascii="Times New Roman" w:hAnsi="Times New Roman" w:cs="Times New Roman"/>
          <w:bCs/>
          <w:sz w:val="24"/>
          <w:szCs w:val="24"/>
        </w:rPr>
        <w:t>izlaides vērtības gada pārmaiņas procentos salīdzinājumā ar importa vērtības gada pārmaiņām procentos</w:t>
      </w:r>
      <w:r w:rsidR="006E557D">
        <w:rPr>
          <w:rFonts w:ascii="Times New Roman" w:hAnsi="Times New Roman" w:cs="Times New Roman"/>
          <w:bCs/>
          <w:sz w:val="24"/>
          <w:szCs w:val="24"/>
        </w:rPr>
        <w:t xml:space="preserve"> </w:t>
      </w:r>
      <w:r w:rsidR="00366028">
        <w:rPr>
          <w:rFonts w:ascii="Times New Roman" w:hAnsi="Times New Roman" w:cs="Times New Roman"/>
          <w:bCs/>
          <w:sz w:val="24"/>
          <w:szCs w:val="24"/>
        </w:rPr>
        <w:t>veidoja</w:t>
      </w:r>
      <w:r w:rsidR="006E557D">
        <w:rPr>
          <w:rFonts w:ascii="Times New Roman" w:hAnsi="Times New Roman" w:cs="Times New Roman"/>
          <w:bCs/>
          <w:sz w:val="24"/>
          <w:szCs w:val="24"/>
        </w:rPr>
        <w:t xml:space="preserve"> </w:t>
      </w:r>
      <w:r w:rsidR="006E557D" w:rsidRPr="002B5DBA">
        <w:rPr>
          <w:rFonts w:ascii="Times New Roman" w:hAnsi="Times New Roman" w:cs="Times New Roman"/>
          <w:b/>
          <w:sz w:val="24"/>
          <w:szCs w:val="24"/>
        </w:rPr>
        <w:t>28</w:t>
      </w:r>
      <w:r w:rsidR="00EF5E2C">
        <w:rPr>
          <w:rFonts w:ascii="Times New Roman" w:hAnsi="Times New Roman" w:cs="Times New Roman"/>
          <w:b/>
          <w:sz w:val="24"/>
          <w:szCs w:val="24"/>
        </w:rPr>
        <w:t> </w:t>
      </w:r>
      <w:r w:rsidR="006E557D" w:rsidRPr="002B5DBA">
        <w:rPr>
          <w:rFonts w:ascii="Times New Roman" w:hAnsi="Times New Roman" w:cs="Times New Roman"/>
          <w:b/>
          <w:sz w:val="24"/>
          <w:szCs w:val="24"/>
        </w:rPr>
        <w:t>procentpunkt</w:t>
      </w:r>
      <w:r w:rsidR="00EF5E2C">
        <w:rPr>
          <w:rFonts w:ascii="Times New Roman" w:hAnsi="Times New Roman" w:cs="Times New Roman"/>
          <w:b/>
          <w:sz w:val="24"/>
          <w:szCs w:val="24"/>
        </w:rPr>
        <w:t>us</w:t>
      </w:r>
      <w:r w:rsidR="00366028">
        <w:rPr>
          <w:rFonts w:ascii="Times New Roman" w:hAnsi="Times New Roman" w:cs="Times New Roman"/>
          <w:bCs/>
          <w:sz w:val="24"/>
          <w:szCs w:val="24"/>
        </w:rPr>
        <w:t>.</w:t>
      </w:r>
    </w:p>
    <w:p w14:paraId="7902E5F0" w14:textId="6D40C7B0" w:rsidR="00BF5327" w:rsidRDefault="00BF5327" w:rsidP="00BF5327">
      <w:pPr>
        <w:tabs>
          <w:tab w:val="left" w:pos="1134"/>
        </w:tabs>
        <w:spacing w:before="120" w:after="12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1.tabula</w:t>
      </w:r>
    </w:p>
    <w:tbl>
      <w:tblPr>
        <w:tblStyle w:val="TableGrid"/>
        <w:tblW w:w="0" w:type="auto"/>
        <w:jc w:val="center"/>
        <w:tblLook w:val="04A0" w:firstRow="1" w:lastRow="0" w:firstColumn="1" w:lastColumn="0" w:noHBand="0" w:noVBand="1"/>
      </w:tblPr>
      <w:tblGrid>
        <w:gridCol w:w="1470"/>
        <w:gridCol w:w="1363"/>
        <w:gridCol w:w="1557"/>
        <w:gridCol w:w="1557"/>
        <w:gridCol w:w="1557"/>
        <w:gridCol w:w="1557"/>
      </w:tblGrid>
      <w:tr w:rsidR="00A2223D" w:rsidRPr="002B356F" w14:paraId="72F4C347" w14:textId="77777777" w:rsidTr="007C1FEA">
        <w:trPr>
          <w:jc w:val="center"/>
        </w:trPr>
        <w:tc>
          <w:tcPr>
            <w:tcW w:w="9061" w:type="dxa"/>
            <w:gridSpan w:val="6"/>
            <w:shd w:val="clear" w:color="auto" w:fill="auto"/>
          </w:tcPr>
          <w:p w14:paraId="3B1D6D3E" w14:textId="4CAB01E6" w:rsidR="00A2223D" w:rsidRPr="002B356F" w:rsidRDefault="00A2223D" w:rsidP="007C1FEA">
            <w:pPr>
              <w:tabs>
                <w:tab w:val="left" w:pos="1134"/>
              </w:tabs>
              <w:spacing w:after="120"/>
              <w:jc w:val="both"/>
              <w:rPr>
                <w:rFonts w:ascii="Times New Roman" w:eastAsia="Times New Roman" w:hAnsi="Times New Roman" w:cs="Times New Roman"/>
                <w:b/>
                <w:sz w:val="24"/>
                <w:szCs w:val="24"/>
              </w:rPr>
            </w:pPr>
            <w:r w:rsidRPr="00FC1318">
              <w:rPr>
                <w:rFonts w:ascii="Times New Roman" w:eastAsia="Times New Roman" w:hAnsi="Times New Roman" w:cs="Times New Roman"/>
                <w:b/>
                <w:sz w:val="24"/>
                <w:szCs w:val="24"/>
              </w:rPr>
              <w:t xml:space="preserve">Rezultatīvais rādītājs </w:t>
            </w:r>
            <w:r w:rsidRPr="004973C9">
              <w:rPr>
                <w:rFonts w:ascii="Times New Roman" w:eastAsia="Times New Roman" w:hAnsi="Times New Roman" w:cs="Times New Roman"/>
                <w:b/>
                <w:sz w:val="24"/>
                <w:szCs w:val="24"/>
              </w:rPr>
              <w:t>“</w:t>
            </w:r>
            <w:r w:rsidRPr="004973C9">
              <w:rPr>
                <w:rFonts w:ascii="Times New Roman" w:eastAsia="Times New Roman" w:hAnsi="Times New Roman"/>
                <w:b/>
                <w:sz w:val="24"/>
                <w:szCs w:val="24"/>
                <w:lang w:eastAsia="lv-LV"/>
              </w:rPr>
              <w:t xml:space="preserve">Pievienotās vērtības nodokļa likumā noteikto augļu, ogu un dārzeņu izaudzētās produkcijas vērtība salīdzinājumā </w:t>
            </w:r>
            <w:r w:rsidR="00EF5E2C">
              <w:rPr>
                <w:rFonts w:ascii="Times New Roman" w:eastAsia="Times New Roman" w:hAnsi="Times New Roman"/>
                <w:b/>
                <w:sz w:val="24"/>
                <w:szCs w:val="24"/>
                <w:lang w:eastAsia="lv-LV"/>
              </w:rPr>
              <w:t>ar</w:t>
            </w:r>
            <w:r w:rsidRPr="004973C9">
              <w:rPr>
                <w:rFonts w:ascii="Times New Roman" w:eastAsia="Times New Roman" w:hAnsi="Times New Roman"/>
                <w:b/>
                <w:sz w:val="24"/>
                <w:szCs w:val="24"/>
                <w:lang w:eastAsia="lv-LV"/>
              </w:rPr>
              <w:t xml:space="preserve"> ievesto produkcijas vērtību ir lielāka par vienu procentpunktu (ik gadu)”</w:t>
            </w:r>
          </w:p>
        </w:tc>
      </w:tr>
      <w:tr w:rsidR="00A2223D" w:rsidRPr="00441C7C" w14:paraId="5B822CE1" w14:textId="77777777" w:rsidTr="007C1FEA">
        <w:trPr>
          <w:jc w:val="center"/>
        </w:trPr>
        <w:tc>
          <w:tcPr>
            <w:tcW w:w="1470" w:type="dxa"/>
            <w:shd w:val="clear" w:color="auto" w:fill="auto"/>
          </w:tcPr>
          <w:p w14:paraId="32F4803E"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p>
        </w:tc>
        <w:tc>
          <w:tcPr>
            <w:tcW w:w="1363" w:type="dxa"/>
            <w:shd w:val="clear" w:color="auto" w:fill="auto"/>
          </w:tcPr>
          <w:p w14:paraId="68E89154"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2018./2017.</w:t>
            </w:r>
          </w:p>
          <w:p w14:paraId="3D1C364E"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7E5C32A9"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2019./2018.</w:t>
            </w:r>
          </w:p>
          <w:p w14:paraId="321085EA"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3EEE3A0D"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2020./2019.</w:t>
            </w:r>
          </w:p>
          <w:p w14:paraId="5435C89B"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2E5DD1E1"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1</w:t>
            </w:r>
            <w:r w:rsidRPr="002B356F">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0</w:t>
            </w:r>
            <w:r w:rsidRPr="002B356F">
              <w:rPr>
                <w:rFonts w:ascii="Times New Roman" w:eastAsia="Times New Roman" w:hAnsi="Times New Roman" w:cs="Times New Roman"/>
                <w:bCs/>
                <w:sz w:val="24"/>
                <w:szCs w:val="24"/>
              </w:rPr>
              <w:t>.</w:t>
            </w:r>
          </w:p>
          <w:p w14:paraId="604969F8"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7B734900"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2021./2022.</w:t>
            </w:r>
          </w:p>
          <w:p w14:paraId="10C47326" w14:textId="77777777" w:rsidR="00A2223D" w:rsidRPr="002B356F" w:rsidRDefault="00A2223D" w:rsidP="007C1FEA">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r>
      <w:tr w:rsidR="00A2223D" w:rsidRPr="002B356F" w14:paraId="0BC56EB3" w14:textId="77777777" w:rsidTr="007C1FEA">
        <w:trPr>
          <w:jc w:val="center"/>
        </w:trPr>
        <w:tc>
          <w:tcPr>
            <w:tcW w:w="1470" w:type="dxa"/>
          </w:tcPr>
          <w:p w14:paraId="2C0096CC" w14:textId="77777777" w:rsidR="00A2223D" w:rsidRPr="002B356F" w:rsidRDefault="00A2223D" w:rsidP="007C1FEA">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Rezultatīvais rādītājs, procenti</w:t>
            </w:r>
          </w:p>
        </w:tc>
        <w:tc>
          <w:tcPr>
            <w:tcW w:w="1363" w:type="dxa"/>
            <w:vAlign w:val="center"/>
          </w:tcPr>
          <w:p w14:paraId="2DA5C888" w14:textId="67E1D417" w:rsidR="00A2223D" w:rsidRPr="002B356F" w:rsidRDefault="00A2223D" w:rsidP="007C1FEA">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vAlign w:val="center"/>
          </w:tcPr>
          <w:p w14:paraId="4C0ADAA1" w14:textId="56F7DC54" w:rsidR="00A2223D" w:rsidRPr="002B356F" w:rsidRDefault="00A2223D" w:rsidP="007C1FEA">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vAlign w:val="center"/>
          </w:tcPr>
          <w:p w14:paraId="5772286E" w14:textId="2381666C" w:rsidR="00A2223D" w:rsidRPr="002B356F" w:rsidRDefault="00A2223D" w:rsidP="007C1FEA">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vAlign w:val="center"/>
          </w:tcPr>
          <w:p w14:paraId="5185EAE9" w14:textId="453B1832" w:rsidR="00A2223D" w:rsidRPr="002B356F" w:rsidRDefault="00A2223D" w:rsidP="007C1FEA">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vAlign w:val="center"/>
          </w:tcPr>
          <w:p w14:paraId="1991DC84" w14:textId="5D3F69C5" w:rsidR="00A2223D" w:rsidRPr="002B356F" w:rsidRDefault="00A2223D" w:rsidP="007C1FEA">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A2223D" w:rsidRPr="002B356F" w14:paraId="738FDB10" w14:textId="77777777" w:rsidTr="007C1FEA">
        <w:trPr>
          <w:jc w:val="center"/>
        </w:trPr>
        <w:tc>
          <w:tcPr>
            <w:tcW w:w="1470" w:type="dxa"/>
          </w:tcPr>
          <w:p w14:paraId="30348C17" w14:textId="77777777" w:rsidR="00A2223D" w:rsidRPr="002B356F" w:rsidRDefault="00A2223D" w:rsidP="007C1FEA">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Izpilde, procenti</w:t>
            </w:r>
          </w:p>
        </w:tc>
        <w:tc>
          <w:tcPr>
            <w:tcW w:w="1363" w:type="dxa"/>
            <w:vAlign w:val="center"/>
          </w:tcPr>
          <w:p w14:paraId="6AEF17A2" w14:textId="6E24C32D" w:rsidR="00A2223D" w:rsidRPr="00BF272E" w:rsidRDefault="00BF272E" w:rsidP="007C1FEA">
            <w:pPr>
              <w:tabs>
                <w:tab w:val="left" w:pos="1134"/>
              </w:tabs>
              <w:jc w:val="center"/>
              <w:rPr>
                <w:rFonts w:ascii="Times New Roman" w:eastAsia="Times New Roman" w:hAnsi="Times New Roman" w:cs="Times New Roman"/>
                <w:b/>
                <w:color w:val="70AD47" w:themeColor="accent6"/>
                <w:sz w:val="24"/>
                <w:szCs w:val="24"/>
              </w:rPr>
            </w:pPr>
            <w:r w:rsidRPr="00BF272E">
              <w:rPr>
                <w:rFonts w:ascii="Times New Roman" w:eastAsia="Times New Roman" w:hAnsi="Times New Roman" w:cs="Times New Roman"/>
                <w:b/>
                <w:color w:val="70AD47" w:themeColor="accent6"/>
                <w:sz w:val="24"/>
                <w:szCs w:val="24"/>
              </w:rPr>
              <w:t>+9</w:t>
            </w:r>
          </w:p>
        </w:tc>
        <w:tc>
          <w:tcPr>
            <w:tcW w:w="1557" w:type="dxa"/>
            <w:vAlign w:val="center"/>
          </w:tcPr>
          <w:p w14:paraId="716A946A" w14:textId="69BD1076" w:rsidR="00A2223D" w:rsidRPr="002B356F" w:rsidRDefault="00BF272E" w:rsidP="007C1FEA">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+1</w:t>
            </w:r>
          </w:p>
        </w:tc>
        <w:tc>
          <w:tcPr>
            <w:tcW w:w="1557" w:type="dxa"/>
            <w:vAlign w:val="center"/>
          </w:tcPr>
          <w:p w14:paraId="20CC9C5F" w14:textId="3FB79A59" w:rsidR="00A2223D" w:rsidRPr="00BF272E" w:rsidRDefault="00EF5E2C" w:rsidP="007C1FEA">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BF272E" w:rsidRPr="00BF272E">
              <w:rPr>
                <w:rFonts w:ascii="Times New Roman" w:eastAsia="Times New Roman" w:hAnsi="Times New Roman" w:cs="Times New Roman"/>
                <w:b/>
                <w:color w:val="FF0000"/>
                <w:sz w:val="24"/>
                <w:szCs w:val="24"/>
              </w:rPr>
              <w:t>1</w:t>
            </w:r>
            <w:r w:rsidR="00A2223D" w:rsidRPr="00BF272E">
              <w:rPr>
                <w:rFonts w:ascii="Times New Roman" w:eastAsia="Times New Roman" w:hAnsi="Times New Roman" w:cs="Times New Roman"/>
                <w:b/>
                <w:color w:val="FF0000"/>
                <w:sz w:val="24"/>
                <w:szCs w:val="24"/>
              </w:rPr>
              <w:t>5</w:t>
            </w:r>
          </w:p>
        </w:tc>
        <w:tc>
          <w:tcPr>
            <w:tcW w:w="1557" w:type="dxa"/>
            <w:vAlign w:val="center"/>
          </w:tcPr>
          <w:p w14:paraId="6497B7B6" w14:textId="4A2275EB" w:rsidR="00A2223D" w:rsidRPr="00BF272E" w:rsidRDefault="00BF272E" w:rsidP="007C1FEA">
            <w:pPr>
              <w:tabs>
                <w:tab w:val="left" w:pos="1134"/>
              </w:tabs>
              <w:jc w:val="center"/>
              <w:rPr>
                <w:rFonts w:ascii="Times New Roman" w:eastAsia="Times New Roman" w:hAnsi="Times New Roman" w:cs="Times New Roman"/>
                <w:b/>
                <w:color w:val="FF0000"/>
                <w:sz w:val="24"/>
                <w:szCs w:val="24"/>
              </w:rPr>
            </w:pPr>
            <w:r w:rsidRPr="00BF272E">
              <w:rPr>
                <w:rFonts w:ascii="Times New Roman" w:eastAsia="Times New Roman" w:hAnsi="Times New Roman" w:cs="Times New Roman"/>
                <w:b/>
                <w:color w:val="FF0000"/>
                <w:sz w:val="24"/>
                <w:szCs w:val="24"/>
              </w:rPr>
              <w:t>0</w:t>
            </w:r>
          </w:p>
        </w:tc>
        <w:tc>
          <w:tcPr>
            <w:tcW w:w="1557" w:type="dxa"/>
            <w:vAlign w:val="center"/>
          </w:tcPr>
          <w:p w14:paraId="2B6F9ABC" w14:textId="7FA577B9" w:rsidR="00A2223D" w:rsidRPr="00BF272E" w:rsidRDefault="00BF272E" w:rsidP="007C1FEA">
            <w:pPr>
              <w:tabs>
                <w:tab w:val="left" w:pos="1134"/>
              </w:tabs>
              <w:jc w:val="center"/>
              <w:rPr>
                <w:rFonts w:ascii="Times New Roman" w:eastAsia="Times New Roman" w:hAnsi="Times New Roman" w:cs="Times New Roman"/>
                <w:b/>
                <w:color w:val="538135" w:themeColor="accent6" w:themeShade="BF"/>
                <w:sz w:val="24"/>
                <w:szCs w:val="24"/>
              </w:rPr>
            </w:pPr>
            <w:r w:rsidRPr="00BF272E">
              <w:rPr>
                <w:rFonts w:ascii="Times New Roman" w:eastAsia="Times New Roman" w:hAnsi="Times New Roman" w:cs="Times New Roman"/>
                <w:b/>
                <w:color w:val="70AD47" w:themeColor="accent6"/>
                <w:sz w:val="24"/>
                <w:szCs w:val="24"/>
              </w:rPr>
              <w:t>+28</w:t>
            </w:r>
          </w:p>
        </w:tc>
      </w:tr>
      <w:tr w:rsidR="00A2223D" w:rsidRPr="003378FD" w14:paraId="3B0D9D6D" w14:textId="77777777" w:rsidTr="007C1FEA">
        <w:trPr>
          <w:jc w:val="center"/>
        </w:trPr>
        <w:tc>
          <w:tcPr>
            <w:tcW w:w="1470" w:type="dxa"/>
          </w:tcPr>
          <w:p w14:paraId="70D3DA90" w14:textId="77777777" w:rsidR="00A2223D" w:rsidRPr="002B356F" w:rsidRDefault="00A2223D" w:rsidP="007C1FEA">
            <w:pPr>
              <w:tabs>
                <w:tab w:val="left" w:pos="1134"/>
              </w:tabs>
              <w:jc w:val="center"/>
              <w:rPr>
                <w:rFonts w:ascii="Times New Roman" w:eastAsia="Times New Roman" w:hAnsi="Times New Roman" w:cs="Times New Roman"/>
                <w:b/>
                <w:i/>
                <w:iCs/>
                <w:sz w:val="24"/>
                <w:szCs w:val="24"/>
              </w:rPr>
            </w:pPr>
          </w:p>
        </w:tc>
        <w:tc>
          <w:tcPr>
            <w:tcW w:w="7591" w:type="dxa"/>
            <w:gridSpan w:val="5"/>
          </w:tcPr>
          <w:p w14:paraId="0A74B9EE" w14:textId="4FCA2294" w:rsidR="00A2223D" w:rsidRPr="003378FD" w:rsidRDefault="00A2223D" w:rsidP="007C1FEA">
            <w:pPr>
              <w:tabs>
                <w:tab w:val="left" w:pos="1134"/>
              </w:tabs>
              <w:jc w:val="center"/>
              <w:rPr>
                <w:rFonts w:ascii="Times New Roman" w:eastAsia="Times New Roman" w:hAnsi="Times New Roman" w:cs="Times New Roman"/>
                <w:b/>
                <w:i/>
                <w:iCs/>
                <w:sz w:val="24"/>
                <w:szCs w:val="24"/>
              </w:rPr>
            </w:pPr>
            <w:r w:rsidRPr="002B356F">
              <w:rPr>
                <w:rFonts w:ascii="Times New Roman" w:eastAsia="Times New Roman" w:hAnsi="Times New Roman" w:cs="Times New Roman"/>
                <w:b/>
                <w:i/>
                <w:iCs/>
                <w:sz w:val="24"/>
                <w:szCs w:val="24"/>
              </w:rPr>
              <w:t>Izpildīts daļēji</w:t>
            </w:r>
            <w:r w:rsidR="001A1D64">
              <w:rPr>
                <w:rFonts w:ascii="Times New Roman" w:eastAsia="Times New Roman" w:hAnsi="Times New Roman" w:cs="Times New Roman"/>
                <w:b/>
                <w:i/>
                <w:iCs/>
                <w:sz w:val="24"/>
                <w:szCs w:val="24"/>
              </w:rPr>
              <w:t>.</w:t>
            </w:r>
          </w:p>
        </w:tc>
      </w:tr>
    </w:tbl>
    <w:p w14:paraId="166E6707" w14:textId="77777777" w:rsidR="00146538" w:rsidRPr="00BF5327" w:rsidRDefault="00146538" w:rsidP="00E43F11">
      <w:pPr>
        <w:tabs>
          <w:tab w:val="left" w:pos="1134"/>
        </w:tabs>
        <w:spacing w:after="120" w:line="240" w:lineRule="auto"/>
        <w:jc w:val="both"/>
        <w:rPr>
          <w:rFonts w:ascii="Times New Roman" w:eastAsia="Times New Roman" w:hAnsi="Times New Roman" w:cs="Times New Roman"/>
          <w:bCs/>
          <w:sz w:val="24"/>
          <w:szCs w:val="24"/>
        </w:rPr>
      </w:pPr>
    </w:p>
    <w:p w14:paraId="3473F1FF" w14:textId="686DEA59" w:rsidR="00F564C1" w:rsidRPr="00632AA3" w:rsidRDefault="00EF5E2C" w:rsidP="00597187">
      <w:pPr>
        <w:pStyle w:val="ListParagraph"/>
        <w:numPr>
          <w:ilvl w:val="1"/>
          <w:numId w:val="20"/>
        </w:numPr>
        <w:tabs>
          <w:tab w:val="left" w:pos="1134"/>
        </w:tabs>
        <w:spacing w:after="120" w:line="240" w:lineRule="auto"/>
        <w:ind w:left="1434" w:hanging="35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sidR="004973C9" w:rsidRPr="004973C9">
        <w:rPr>
          <w:rFonts w:ascii="Times New Roman" w:eastAsia="Times New Roman" w:hAnsi="Times New Roman" w:cs="Times New Roman"/>
          <w:b/>
          <w:sz w:val="24"/>
          <w:szCs w:val="24"/>
        </w:rPr>
        <w:t>Rezultatīvais rādītājs “</w:t>
      </w:r>
      <w:r w:rsidR="004973C9" w:rsidRPr="004973C9">
        <w:rPr>
          <w:rFonts w:ascii="Times New Roman" w:eastAsia="Times New Roman" w:hAnsi="Times New Roman"/>
          <w:b/>
          <w:sz w:val="24"/>
          <w:szCs w:val="24"/>
          <w:lang w:eastAsia="lv-LV"/>
        </w:rPr>
        <w:t>Apgrozījums darījumiem ar Pievienotās vērtības nodokļa likuma 1.</w:t>
      </w:r>
      <w:r>
        <w:rPr>
          <w:rFonts w:ascii="Times New Roman" w:eastAsia="Times New Roman" w:hAnsi="Times New Roman"/>
          <w:b/>
          <w:sz w:val="24"/>
          <w:szCs w:val="24"/>
          <w:lang w:eastAsia="lv-LV"/>
        </w:rPr>
        <w:t> </w:t>
      </w:r>
      <w:r w:rsidR="004973C9" w:rsidRPr="004973C9">
        <w:rPr>
          <w:rFonts w:ascii="Times New Roman" w:eastAsia="Times New Roman" w:hAnsi="Times New Roman"/>
          <w:b/>
          <w:sz w:val="24"/>
          <w:szCs w:val="24"/>
          <w:lang w:eastAsia="lv-LV"/>
        </w:rPr>
        <w:t xml:space="preserve">pielikumā noteiktajiem svaigiem augļiem, ogām un dārzeņiem salīdzinājumā </w:t>
      </w:r>
      <w:r>
        <w:rPr>
          <w:rFonts w:ascii="Times New Roman" w:eastAsia="Times New Roman" w:hAnsi="Times New Roman"/>
          <w:b/>
          <w:sz w:val="24"/>
          <w:szCs w:val="24"/>
          <w:lang w:eastAsia="lv-LV"/>
        </w:rPr>
        <w:t>ar</w:t>
      </w:r>
      <w:r w:rsidR="004973C9" w:rsidRPr="004973C9">
        <w:rPr>
          <w:rFonts w:ascii="Times New Roman" w:eastAsia="Times New Roman" w:hAnsi="Times New Roman"/>
          <w:b/>
          <w:sz w:val="24"/>
          <w:szCs w:val="24"/>
          <w:lang w:eastAsia="lv-LV"/>
        </w:rPr>
        <w:t xml:space="preserve"> apgrozījumu kopējiem darījumiem (neieskaitot darījumus ar Pievienotās vērtības nodokļa likuma 1.</w:t>
      </w:r>
      <w:r>
        <w:rPr>
          <w:rFonts w:ascii="Times New Roman" w:eastAsia="Times New Roman" w:hAnsi="Times New Roman"/>
          <w:b/>
          <w:sz w:val="24"/>
          <w:szCs w:val="24"/>
          <w:lang w:eastAsia="lv-LV"/>
        </w:rPr>
        <w:t> </w:t>
      </w:r>
      <w:r w:rsidR="004973C9" w:rsidRPr="004973C9">
        <w:rPr>
          <w:rFonts w:ascii="Times New Roman" w:eastAsia="Times New Roman" w:hAnsi="Times New Roman"/>
          <w:b/>
          <w:sz w:val="24"/>
          <w:szCs w:val="24"/>
          <w:lang w:eastAsia="lv-LV"/>
        </w:rPr>
        <w:t xml:space="preserve">pielikumā noteiktajiem svaigiem augļiem, ogām un dārzeņiem) ir lielāks par </w:t>
      </w:r>
      <w:r w:rsidR="00CD6542">
        <w:rPr>
          <w:rFonts w:ascii="Times New Roman" w:eastAsia="Times New Roman" w:hAnsi="Times New Roman"/>
          <w:b/>
          <w:sz w:val="24"/>
          <w:szCs w:val="24"/>
          <w:lang w:eastAsia="lv-LV"/>
        </w:rPr>
        <w:t xml:space="preserve">sešiem </w:t>
      </w:r>
      <w:r w:rsidR="004973C9" w:rsidRPr="004973C9">
        <w:rPr>
          <w:rFonts w:ascii="Times New Roman" w:eastAsia="Times New Roman" w:hAnsi="Times New Roman"/>
          <w:b/>
          <w:sz w:val="24"/>
          <w:szCs w:val="24"/>
          <w:lang w:eastAsia="lv-LV"/>
        </w:rPr>
        <w:t>procentpunktiem (ik gadu)”</w:t>
      </w:r>
    </w:p>
    <w:p w14:paraId="16661830" w14:textId="68D38DFE" w:rsidR="00CC6446" w:rsidRDefault="00CC6446" w:rsidP="00583B89">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Šis rezultatīvais rādītājs noteikts, lai </w:t>
      </w:r>
      <w:r w:rsidR="00394D2E">
        <w:rPr>
          <w:rFonts w:ascii="Times New Roman" w:eastAsia="Times New Roman" w:hAnsi="Times New Roman" w:cs="Times New Roman"/>
          <w:bCs/>
          <w:sz w:val="24"/>
          <w:szCs w:val="24"/>
        </w:rPr>
        <w:t>vērtētu</w:t>
      </w:r>
      <w:r>
        <w:rPr>
          <w:rFonts w:ascii="Times New Roman" w:eastAsia="Times New Roman" w:hAnsi="Times New Roman" w:cs="Times New Roman"/>
          <w:bCs/>
          <w:sz w:val="24"/>
          <w:szCs w:val="24"/>
        </w:rPr>
        <w:t xml:space="preserve"> izvirzīt</w:t>
      </w:r>
      <w:r w:rsidR="00394D2E">
        <w:rPr>
          <w:rFonts w:ascii="Times New Roman" w:eastAsia="Times New Roman" w:hAnsi="Times New Roman" w:cs="Times New Roman"/>
          <w:bCs/>
          <w:sz w:val="24"/>
          <w:szCs w:val="24"/>
        </w:rPr>
        <w:t>ā</w:t>
      </w:r>
      <w:r>
        <w:rPr>
          <w:rFonts w:ascii="Times New Roman" w:eastAsia="Times New Roman" w:hAnsi="Times New Roman" w:cs="Times New Roman"/>
          <w:bCs/>
          <w:sz w:val="24"/>
          <w:szCs w:val="24"/>
        </w:rPr>
        <w:t xml:space="preserve"> mērķ</w:t>
      </w:r>
      <w:r w:rsidR="00394D2E">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 veicināt svaigu augļu, ogu un dārzeņu patēriņu</w:t>
      </w:r>
      <w:r w:rsidR="00EF5E2C">
        <w:rPr>
          <w:rFonts w:ascii="Times New Roman" w:eastAsia="Times New Roman" w:hAnsi="Times New Roman" w:cs="Times New Roman"/>
          <w:bCs/>
          <w:sz w:val="24"/>
          <w:szCs w:val="24"/>
        </w:rPr>
        <w:t> –</w:t>
      </w:r>
      <w:r w:rsidR="00394D2E">
        <w:rPr>
          <w:rFonts w:ascii="Times New Roman" w:eastAsia="Times New Roman" w:hAnsi="Times New Roman" w:cs="Times New Roman"/>
          <w:bCs/>
          <w:sz w:val="24"/>
          <w:szCs w:val="24"/>
        </w:rPr>
        <w:t xml:space="preserve"> sasniegšanu</w:t>
      </w:r>
      <w:r w:rsidR="00AB2B75">
        <w:rPr>
          <w:rFonts w:ascii="Times New Roman" w:eastAsia="Times New Roman" w:hAnsi="Times New Roman" w:cs="Times New Roman"/>
          <w:bCs/>
          <w:sz w:val="24"/>
          <w:szCs w:val="24"/>
        </w:rPr>
        <w:t>, k</w:t>
      </w:r>
      <w:r>
        <w:rPr>
          <w:rFonts w:ascii="Times New Roman" w:eastAsia="Times New Roman" w:hAnsi="Times New Roman" w:cs="Times New Roman"/>
          <w:bCs/>
          <w:sz w:val="24"/>
          <w:szCs w:val="24"/>
        </w:rPr>
        <w:t>onkrētāk analizējot</w:t>
      </w:r>
      <w:r w:rsidR="0032506D">
        <w:rPr>
          <w:rFonts w:ascii="Times New Roman" w:eastAsia="Times New Roman" w:hAnsi="Times New Roman" w:cs="Times New Roman"/>
          <w:bCs/>
          <w:sz w:val="24"/>
          <w:szCs w:val="24"/>
        </w:rPr>
        <w:t xml:space="preserve"> ar samazināto 5</w:t>
      </w:r>
      <w:r w:rsidR="00EF5E2C">
        <w:rPr>
          <w:rFonts w:ascii="Times New Roman" w:eastAsia="Times New Roman" w:hAnsi="Times New Roman" w:cs="Times New Roman"/>
          <w:bCs/>
          <w:sz w:val="24"/>
          <w:szCs w:val="24"/>
        </w:rPr>
        <w:t> </w:t>
      </w:r>
      <w:r w:rsidR="0032506D">
        <w:rPr>
          <w:rFonts w:ascii="Times New Roman" w:eastAsia="Times New Roman" w:hAnsi="Times New Roman" w:cs="Times New Roman"/>
          <w:bCs/>
          <w:sz w:val="24"/>
          <w:szCs w:val="24"/>
        </w:rPr>
        <w:t xml:space="preserve">% </w:t>
      </w:r>
      <w:r w:rsidR="00EF5E2C">
        <w:rPr>
          <w:rFonts w:ascii="Times New Roman" w:eastAsia="Times New Roman" w:hAnsi="Times New Roman" w:cs="Times New Roman"/>
          <w:bCs/>
          <w:sz w:val="24"/>
          <w:szCs w:val="24"/>
        </w:rPr>
        <w:t xml:space="preserve">PVN </w:t>
      </w:r>
      <w:r w:rsidR="0032506D">
        <w:rPr>
          <w:rFonts w:ascii="Times New Roman" w:eastAsia="Times New Roman" w:hAnsi="Times New Roman" w:cs="Times New Roman"/>
          <w:bCs/>
          <w:sz w:val="24"/>
          <w:szCs w:val="24"/>
        </w:rPr>
        <w:t>likmi apliekamo darījumu vērt</w:t>
      </w:r>
      <w:r w:rsidR="00BE6B26">
        <w:rPr>
          <w:rFonts w:ascii="Times New Roman" w:eastAsia="Times New Roman" w:hAnsi="Times New Roman" w:cs="Times New Roman"/>
          <w:bCs/>
          <w:sz w:val="24"/>
          <w:szCs w:val="24"/>
        </w:rPr>
        <w:t xml:space="preserve">ības </w:t>
      </w:r>
      <w:r w:rsidR="00AB2B75">
        <w:rPr>
          <w:rFonts w:ascii="Times New Roman" w:eastAsia="Times New Roman" w:hAnsi="Times New Roman" w:cs="Times New Roman"/>
          <w:bCs/>
          <w:sz w:val="24"/>
          <w:szCs w:val="24"/>
        </w:rPr>
        <w:t>pār</w:t>
      </w:r>
      <w:r w:rsidR="00BE6B26">
        <w:rPr>
          <w:rFonts w:ascii="Times New Roman" w:eastAsia="Times New Roman" w:hAnsi="Times New Roman" w:cs="Times New Roman"/>
          <w:bCs/>
          <w:sz w:val="24"/>
          <w:szCs w:val="24"/>
        </w:rPr>
        <w:t xml:space="preserve">maiņas </w:t>
      </w:r>
      <w:r w:rsidR="00AB2B75">
        <w:rPr>
          <w:rFonts w:ascii="Times New Roman" w:eastAsia="Times New Roman" w:hAnsi="Times New Roman" w:cs="Times New Roman"/>
          <w:bCs/>
          <w:sz w:val="24"/>
          <w:szCs w:val="24"/>
        </w:rPr>
        <w:t>salīdzinājumā</w:t>
      </w:r>
      <w:r w:rsidR="00BE6B26">
        <w:rPr>
          <w:rFonts w:ascii="Times New Roman" w:eastAsia="Times New Roman" w:hAnsi="Times New Roman" w:cs="Times New Roman"/>
          <w:bCs/>
          <w:sz w:val="24"/>
          <w:szCs w:val="24"/>
        </w:rPr>
        <w:t xml:space="preserve"> kopējo ar PVN apliekamo darījumu vērtīb</w:t>
      </w:r>
      <w:r w:rsidR="00AB2B75">
        <w:rPr>
          <w:rFonts w:ascii="Times New Roman" w:eastAsia="Times New Roman" w:hAnsi="Times New Roman" w:cs="Times New Roman"/>
          <w:bCs/>
          <w:sz w:val="24"/>
          <w:szCs w:val="24"/>
        </w:rPr>
        <w:t>as</w:t>
      </w:r>
      <w:r w:rsidR="00BE6B26">
        <w:rPr>
          <w:rFonts w:ascii="Times New Roman" w:eastAsia="Times New Roman" w:hAnsi="Times New Roman" w:cs="Times New Roman"/>
          <w:bCs/>
          <w:sz w:val="24"/>
          <w:szCs w:val="24"/>
        </w:rPr>
        <w:t xml:space="preserve"> </w:t>
      </w:r>
      <w:r w:rsidR="00AB2B75">
        <w:rPr>
          <w:rFonts w:ascii="Times New Roman" w:eastAsia="Times New Roman" w:hAnsi="Times New Roman" w:cs="Times New Roman"/>
          <w:bCs/>
          <w:sz w:val="24"/>
          <w:szCs w:val="24"/>
        </w:rPr>
        <w:t>pār</w:t>
      </w:r>
      <w:r w:rsidR="00BE6B26">
        <w:rPr>
          <w:rFonts w:ascii="Times New Roman" w:eastAsia="Times New Roman" w:hAnsi="Times New Roman" w:cs="Times New Roman"/>
          <w:bCs/>
          <w:sz w:val="24"/>
          <w:szCs w:val="24"/>
        </w:rPr>
        <w:t xml:space="preserve">maiņām. </w:t>
      </w:r>
      <w:r w:rsidR="00AB2B75">
        <w:rPr>
          <w:rFonts w:ascii="Times New Roman" w:eastAsia="Times New Roman" w:hAnsi="Times New Roman" w:cs="Times New Roman"/>
          <w:bCs/>
          <w:sz w:val="24"/>
          <w:szCs w:val="24"/>
        </w:rPr>
        <w:t>Paredzēts</w:t>
      </w:r>
      <w:r w:rsidR="00CA008B">
        <w:rPr>
          <w:rFonts w:ascii="Times New Roman" w:eastAsia="Times New Roman" w:hAnsi="Times New Roman" w:cs="Times New Roman"/>
          <w:bCs/>
          <w:sz w:val="24"/>
          <w:szCs w:val="24"/>
        </w:rPr>
        <w:t>, ka ar samazināto 5</w:t>
      </w:r>
      <w:r w:rsidR="00AB2B75">
        <w:rPr>
          <w:rFonts w:ascii="Times New Roman" w:eastAsia="Times New Roman" w:hAnsi="Times New Roman" w:cs="Times New Roman"/>
          <w:bCs/>
          <w:sz w:val="24"/>
          <w:szCs w:val="24"/>
        </w:rPr>
        <w:t> </w:t>
      </w:r>
      <w:r w:rsidR="00CA008B">
        <w:rPr>
          <w:rFonts w:ascii="Times New Roman" w:eastAsia="Times New Roman" w:hAnsi="Times New Roman" w:cs="Times New Roman"/>
          <w:bCs/>
          <w:sz w:val="24"/>
          <w:szCs w:val="24"/>
        </w:rPr>
        <w:t>%</w:t>
      </w:r>
      <w:r w:rsidR="00AB2B75">
        <w:rPr>
          <w:rFonts w:ascii="Times New Roman" w:eastAsia="Times New Roman" w:hAnsi="Times New Roman" w:cs="Times New Roman"/>
          <w:bCs/>
          <w:sz w:val="24"/>
          <w:szCs w:val="24"/>
        </w:rPr>
        <w:t xml:space="preserve"> </w:t>
      </w:r>
      <w:r w:rsidR="00082FAA">
        <w:rPr>
          <w:rFonts w:ascii="Times New Roman" w:eastAsia="Times New Roman" w:hAnsi="Times New Roman" w:cs="Times New Roman"/>
          <w:bCs/>
          <w:sz w:val="24"/>
          <w:szCs w:val="24"/>
        </w:rPr>
        <w:t xml:space="preserve">PVN </w:t>
      </w:r>
      <w:r w:rsidR="00CA008B">
        <w:rPr>
          <w:rFonts w:ascii="Times New Roman" w:eastAsia="Times New Roman" w:hAnsi="Times New Roman" w:cs="Times New Roman"/>
          <w:bCs/>
          <w:sz w:val="24"/>
          <w:szCs w:val="24"/>
        </w:rPr>
        <w:t xml:space="preserve">likmi apliekamo darījumu vērtības </w:t>
      </w:r>
      <w:r w:rsidR="00AB2B75">
        <w:rPr>
          <w:rFonts w:ascii="Times New Roman" w:eastAsia="Times New Roman" w:hAnsi="Times New Roman" w:cs="Times New Roman"/>
          <w:bCs/>
          <w:sz w:val="24"/>
          <w:szCs w:val="24"/>
        </w:rPr>
        <w:t>pār</w:t>
      </w:r>
      <w:r w:rsidR="00CA008B">
        <w:rPr>
          <w:rFonts w:ascii="Times New Roman" w:eastAsia="Times New Roman" w:hAnsi="Times New Roman" w:cs="Times New Roman"/>
          <w:bCs/>
          <w:sz w:val="24"/>
          <w:szCs w:val="24"/>
        </w:rPr>
        <w:t>maiņām jābūt lielākām par sešiem procentpunktiem ik gadu salīdzinājumā ar kopējo ar PVN apliekamo darījumu vērtīb</w:t>
      </w:r>
      <w:r w:rsidR="00AB2B75">
        <w:rPr>
          <w:rFonts w:ascii="Times New Roman" w:eastAsia="Times New Roman" w:hAnsi="Times New Roman" w:cs="Times New Roman"/>
          <w:bCs/>
          <w:sz w:val="24"/>
          <w:szCs w:val="24"/>
        </w:rPr>
        <w:t>as</w:t>
      </w:r>
      <w:r w:rsidR="00CA008B">
        <w:rPr>
          <w:rFonts w:ascii="Times New Roman" w:eastAsia="Times New Roman" w:hAnsi="Times New Roman" w:cs="Times New Roman"/>
          <w:bCs/>
          <w:sz w:val="24"/>
          <w:szCs w:val="24"/>
        </w:rPr>
        <w:t xml:space="preserve"> </w:t>
      </w:r>
      <w:r w:rsidR="00AB2B75">
        <w:rPr>
          <w:rFonts w:ascii="Times New Roman" w:eastAsia="Times New Roman" w:hAnsi="Times New Roman" w:cs="Times New Roman"/>
          <w:bCs/>
          <w:sz w:val="24"/>
          <w:szCs w:val="24"/>
        </w:rPr>
        <w:t>pār</w:t>
      </w:r>
      <w:r w:rsidR="00CA008B">
        <w:rPr>
          <w:rFonts w:ascii="Times New Roman" w:eastAsia="Times New Roman" w:hAnsi="Times New Roman" w:cs="Times New Roman"/>
          <w:bCs/>
          <w:sz w:val="24"/>
          <w:szCs w:val="24"/>
        </w:rPr>
        <w:t>maiņām.</w:t>
      </w:r>
    </w:p>
    <w:p w14:paraId="4AFB97ED" w14:textId="4BE74FD3" w:rsidR="004E3AF7" w:rsidRDefault="00C27EC6" w:rsidP="004E3AF7">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Laikā no 2018. līdz 2022.</w:t>
      </w:r>
      <w:r w:rsidR="00AB2B75">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gadam arī ir novērojamas</w:t>
      </w:r>
      <w:r w:rsidR="00B3603E">
        <w:rPr>
          <w:rFonts w:ascii="Times New Roman" w:eastAsia="Times New Roman" w:hAnsi="Times New Roman" w:cs="Times New Roman"/>
          <w:bCs/>
          <w:sz w:val="24"/>
          <w:szCs w:val="24"/>
        </w:rPr>
        <w:t xml:space="preserve"> </w:t>
      </w:r>
      <w:r w:rsidR="00DA279F">
        <w:rPr>
          <w:rFonts w:ascii="Times New Roman" w:eastAsia="Times New Roman" w:hAnsi="Times New Roman" w:cs="Times New Roman"/>
          <w:bCs/>
          <w:sz w:val="24"/>
          <w:szCs w:val="24"/>
        </w:rPr>
        <w:t xml:space="preserve">svārstības </w:t>
      </w:r>
      <w:r w:rsidR="00B3603E">
        <w:rPr>
          <w:rFonts w:ascii="Times New Roman" w:eastAsia="Times New Roman" w:hAnsi="Times New Roman" w:cs="Times New Roman"/>
          <w:bCs/>
          <w:sz w:val="24"/>
          <w:szCs w:val="24"/>
        </w:rPr>
        <w:t>gan</w:t>
      </w:r>
      <w:r>
        <w:rPr>
          <w:rFonts w:ascii="Times New Roman" w:eastAsia="Times New Roman" w:hAnsi="Times New Roman" w:cs="Times New Roman"/>
          <w:bCs/>
          <w:sz w:val="24"/>
          <w:szCs w:val="24"/>
        </w:rPr>
        <w:t xml:space="preserve"> apgrozījum</w:t>
      </w:r>
      <w:r w:rsidR="00DA279F">
        <w:rPr>
          <w:rFonts w:ascii="Times New Roman" w:eastAsia="Times New Roman" w:hAnsi="Times New Roman" w:cs="Times New Roman"/>
          <w:bCs/>
          <w:sz w:val="24"/>
          <w:szCs w:val="24"/>
        </w:rPr>
        <w:t>ā</w:t>
      </w:r>
      <w:r>
        <w:rPr>
          <w:rFonts w:ascii="Times New Roman" w:eastAsia="Times New Roman" w:hAnsi="Times New Roman" w:cs="Times New Roman"/>
          <w:bCs/>
          <w:sz w:val="24"/>
          <w:szCs w:val="24"/>
        </w:rPr>
        <w:t xml:space="preserve"> a</w:t>
      </w:r>
      <w:r w:rsidR="00B3603E">
        <w:rPr>
          <w:rFonts w:ascii="Times New Roman" w:eastAsia="Times New Roman" w:hAnsi="Times New Roman" w:cs="Times New Roman"/>
          <w:bCs/>
          <w:sz w:val="24"/>
          <w:szCs w:val="24"/>
        </w:rPr>
        <w:t xml:space="preserve">r </w:t>
      </w:r>
      <w:r w:rsidR="00B3603E" w:rsidRPr="003F3B25">
        <w:rPr>
          <w:rFonts w:ascii="Times New Roman" w:eastAsia="Times New Roman" w:hAnsi="Times New Roman" w:cs="Times New Roman"/>
          <w:bCs/>
          <w:sz w:val="24"/>
          <w:szCs w:val="24"/>
        </w:rPr>
        <w:t>Pievienotās vērtības nodokļa likumā noteiktiem svaigiem augļiem, ogām un dārzeņiem</w:t>
      </w:r>
      <w:r w:rsidR="00B3603E">
        <w:rPr>
          <w:rFonts w:ascii="Times New Roman" w:eastAsia="Times New Roman" w:hAnsi="Times New Roman" w:cs="Times New Roman"/>
          <w:bCs/>
          <w:sz w:val="24"/>
          <w:szCs w:val="24"/>
        </w:rPr>
        <w:t>, gan arī kopējās ar PVN apliekamo darījumu vērtības (neieskaitot apliekamos darījumus ar Pievienotās vērtības nodokļa likumā noteiktajiem svaigiem augļiem, ogām un dārzeņiem) apgrozījum</w:t>
      </w:r>
      <w:r w:rsidR="00DA279F">
        <w:rPr>
          <w:rFonts w:ascii="Times New Roman" w:eastAsia="Times New Roman" w:hAnsi="Times New Roman" w:cs="Times New Roman"/>
          <w:bCs/>
          <w:sz w:val="24"/>
          <w:szCs w:val="24"/>
        </w:rPr>
        <w:t>ā</w:t>
      </w:r>
      <w:r w:rsidR="00B3603E">
        <w:rPr>
          <w:rFonts w:ascii="Times New Roman" w:eastAsia="Times New Roman" w:hAnsi="Times New Roman" w:cs="Times New Roman"/>
          <w:bCs/>
          <w:sz w:val="24"/>
          <w:szCs w:val="24"/>
        </w:rPr>
        <w:t>.</w:t>
      </w:r>
    </w:p>
    <w:p w14:paraId="47E0A2DF" w14:textId="461E461D" w:rsidR="004E3AF7" w:rsidRDefault="004E3AF7" w:rsidP="004E3AF7">
      <w:pPr>
        <w:tabs>
          <w:tab w:val="left" w:pos="1134"/>
        </w:tabs>
        <w:spacing w:before="120" w:after="120" w:line="240" w:lineRule="auto"/>
        <w:jc w:val="both"/>
        <w:rPr>
          <w:rFonts w:ascii="Times New Roman" w:eastAsia="Times New Roman" w:hAnsi="Times New Roman" w:cs="Times New Roman"/>
          <w:bCs/>
          <w:sz w:val="24"/>
          <w:szCs w:val="24"/>
        </w:rPr>
      </w:pPr>
      <w:r>
        <w:rPr>
          <w:noProof/>
          <w:lang w:eastAsia="lv-LV"/>
        </w:rPr>
        <w:lastRenderedPageBreak/>
        <w:drawing>
          <wp:inline distT="0" distB="0" distL="0" distR="0" wp14:anchorId="12748FBE" wp14:editId="071BD90A">
            <wp:extent cx="5729592" cy="3501958"/>
            <wp:effectExtent l="0" t="0" r="5080" b="3810"/>
            <wp:docPr id="1" name="Chart 1">
              <a:extLst xmlns:a="http://schemas.openxmlformats.org/drawingml/2006/main">
                <a:ext uri="{FF2B5EF4-FFF2-40B4-BE49-F238E27FC236}">
                  <a16:creationId xmlns:a16="http://schemas.microsoft.com/office/drawing/2014/main" id="{51EF4000-D9F0-4C96-AA0C-8DB1CED162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C9ABCC" w14:textId="04459CCF" w:rsidR="00412F23" w:rsidRDefault="00D27301" w:rsidP="00082FAA">
      <w:pPr>
        <w:spacing w:after="0" w:line="240" w:lineRule="auto"/>
        <w:ind w:firstLine="851"/>
        <w:jc w:val="both"/>
        <w:rPr>
          <w:rFonts w:ascii="Times New Roman" w:hAnsi="Times New Roman" w:cs="Times New Roman"/>
          <w:sz w:val="24"/>
          <w:szCs w:val="24"/>
          <w:highlight w:val="yellow"/>
        </w:rPr>
      </w:pPr>
      <w:r w:rsidRPr="003A2F29">
        <w:rPr>
          <w:rFonts w:ascii="Times New Roman" w:hAnsi="Times New Roman" w:cs="Times New Roman"/>
          <w:sz w:val="24"/>
          <w:szCs w:val="24"/>
        </w:rPr>
        <w:t>2</w:t>
      </w:r>
      <w:r w:rsidR="00B505AF" w:rsidRPr="003A2F29">
        <w:rPr>
          <w:rFonts w:ascii="Times New Roman" w:hAnsi="Times New Roman" w:cs="Times New Roman"/>
          <w:sz w:val="24"/>
          <w:szCs w:val="24"/>
        </w:rPr>
        <w:t>.</w:t>
      </w:r>
      <w:r w:rsidR="00B3631A">
        <w:rPr>
          <w:rFonts w:ascii="Times New Roman" w:hAnsi="Times New Roman" w:cs="Times New Roman"/>
          <w:sz w:val="24"/>
          <w:szCs w:val="24"/>
        </w:rPr>
        <w:t> </w:t>
      </w:r>
      <w:r w:rsidR="00B505AF" w:rsidRPr="003A2F29">
        <w:rPr>
          <w:rFonts w:ascii="Times New Roman" w:hAnsi="Times New Roman" w:cs="Times New Roman"/>
          <w:sz w:val="24"/>
          <w:szCs w:val="24"/>
        </w:rPr>
        <w:t xml:space="preserve">attēls. </w:t>
      </w:r>
      <w:r w:rsidR="00452813" w:rsidRPr="00872C00">
        <w:rPr>
          <w:rFonts w:ascii="Times New Roman" w:hAnsi="Times New Roman" w:cs="Times New Roman"/>
          <w:sz w:val="24"/>
          <w:szCs w:val="24"/>
        </w:rPr>
        <w:t>D</w:t>
      </w:r>
      <w:r w:rsidR="006276E4" w:rsidRPr="00872C00">
        <w:rPr>
          <w:rFonts w:ascii="Times New Roman" w:hAnsi="Times New Roman" w:cs="Times New Roman"/>
          <w:sz w:val="24"/>
          <w:szCs w:val="24"/>
        </w:rPr>
        <w:t>arījum</w:t>
      </w:r>
      <w:r w:rsidR="00452813" w:rsidRPr="00872C00">
        <w:rPr>
          <w:rFonts w:ascii="Times New Roman" w:hAnsi="Times New Roman" w:cs="Times New Roman"/>
          <w:sz w:val="24"/>
          <w:szCs w:val="24"/>
        </w:rPr>
        <w:t>u</w:t>
      </w:r>
      <w:r w:rsidR="006276E4" w:rsidRPr="00872C00">
        <w:rPr>
          <w:rFonts w:ascii="Times New Roman" w:hAnsi="Times New Roman" w:cs="Times New Roman"/>
          <w:sz w:val="24"/>
          <w:szCs w:val="24"/>
        </w:rPr>
        <w:t xml:space="preserve"> ar svaigiem aug</w:t>
      </w:r>
      <w:r w:rsidR="00412F23" w:rsidRPr="00872C00">
        <w:rPr>
          <w:rFonts w:ascii="Times New Roman" w:hAnsi="Times New Roman" w:cs="Times New Roman"/>
          <w:sz w:val="24"/>
          <w:szCs w:val="24"/>
        </w:rPr>
        <w:t>ļiem, ogām un dārzeņiem</w:t>
      </w:r>
      <w:r w:rsidR="004B6E11" w:rsidRPr="00872C00">
        <w:rPr>
          <w:rFonts w:ascii="Times New Roman" w:hAnsi="Times New Roman" w:cs="Times New Roman"/>
          <w:sz w:val="24"/>
          <w:szCs w:val="24"/>
        </w:rPr>
        <w:t xml:space="preserve"> </w:t>
      </w:r>
      <w:r w:rsidR="009310A0" w:rsidRPr="00872C00">
        <w:rPr>
          <w:rFonts w:ascii="Times New Roman" w:hAnsi="Times New Roman" w:cs="Times New Roman"/>
          <w:sz w:val="24"/>
          <w:szCs w:val="24"/>
        </w:rPr>
        <w:t>vērtības</w:t>
      </w:r>
      <w:r w:rsidR="00772ECD" w:rsidRPr="00872C00">
        <w:rPr>
          <w:rStyle w:val="FootnoteReference"/>
          <w:rFonts w:ascii="Times New Roman" w:hAnsi="Times New Roman" w:cs="Times New Roman"/>
          <w:sz w:val="24"/>
          <w:szCs w:val="24"/>
        </w:rPr>
        <w:footnoteReference w:id="10"/>
      </w:r>
      <w:r w:rsidR="009310A0" w:rsidRPr="00872C00">
        <w:rPr>
          <w:rFonts w:ascii="Times New Roman" w:hAnsi="Times New Roman" w:cs="Times New Roman"/>
          <w:sz w:val="24"/>
          <w:szCs w:val="24"/>
        </w:rPr>
        <w:t xml:space="preserve"> </w:t>
      </w:r>
      <w:r w:rsidR="004B6E11" w:rsidRPr="00872C00">
        <w:rPr>
          <w:rFonts w:ascii="Times New Roman" w:hAnsi="Times New Roman" w:cs="Times New Roman"/>
          <w:sz w:val="24"/>
          <w:szCs w:val="24"/>
        </w:rPr>
        <w:t>gada pārmaiņas</w:t>
      </w:r>
      <w:r w:rsidR="00AB27F9" w:rsidRPr="00872C00">
        <w:rPr>
          <w:rFonts w:ascii="Times New Roman" w:hAnsi="Times New Roman" w:cs="Times New Roman"/>
          <w:sz w:val="24"/>
          <w:szCs w:val="24"/>
        </w:rPr>
        <w:t xml:space="preserve"> </w:t>
      </w:r>
      <w:r w:rsidR="00FD6523">
        <w:rPr>
          <w:rFonts w:ascii="Times New Roman" w:hAnsi="Times New Roman" w:cs="Times New Roman"/>
          <w:sz w:val="24"/>
          <w:szCs w:val="24"/>
        </w:rPr>
        <w:t>procentos</w:t>
      </w:r>
      <w:r w:rsidR="00AB27F9" w:rsidRPr="00872C00">
        <w:rPr>
          <w:rFonts w:ascii="Times New Roman" w:hAnsi="Times New Roman" w:cs="Times New Roman"/>
          <w:sz w:val="24"/>
          <w:szCs w:val="24"/>
        </w:rPr>
        <w:t xml:space="preserve"> </w:t>
      </w:r>
      <w:r w:rsidR="004B6E11" w:rsidRPr="00872C00">
        <w:rPr>
          <w:rFonts w:ascii="Times New Roman" w:hAnsi="Times New Roman" w:cs="Times New Roman"/>
          <w:sz w:val="24"/>
          <w:szCs w:val="24"/>
        </w:rPr>
        <w:t>salīdzinājumā ar kopējo darījumu vērtīb</w:t>
      </w:r>
      <w:r w:rsidR="009310A0" w:rsidRPr="00872C00">
        <w:rPr>
          <w:rFonts w:ascii="Times New Roman" w:hAnsi="Times New Roman" w:cs="Times New Roman"/>
          <w:sz w:val="24"/>
          <w:szCs w:val="24"/>
        </w:rPr>
        <w:t>as</w:t>
      </w:r>
      <w:r w:rsidR="00BC11B2" w:rsidRPr="00872C00">
        <w:rPr>
          <w:rStyle w:val="FootnoteReference"/>
          <w:rFonts w:ascii="Times New Roman" w:hAnsi="Times New Roman" w:cs="Times New Roman"/>
          <w:sz w:val="24"/>
          <w:szCs w:val="24"/>
        </w:rPr>
        <w:footnoteReference w:id="11"/>
      </w:r>
      <w:r w:rsidR="009310A0" w:rsidRPr="00872C00">
        <w:rPr>
          <w:rFonts w:ascii="Times New Roman" w:hAnsi="Times New Roman" w:cs="Times New Roman"/>
          <w:sz w:val="24"/>
          <w:szCs w:val="24"/>
        </w:rPr>
        <w:t xml:space="preserve"> gada pārmaiņām</w:t>
      </w:r>
      <w:r w:rsidR="00AB27F9" w:rsidRPr="00872C00">
        <w:rPr>
          <w:rFonts w:ascii="Times New Roman" w:hAnsi="Times New Roman" w:cs="Times New Roman"/>
          <w:sz w:val="24"/>
          <w:szCs w:val="24"/>
        </w:rPr>
        <w:t xml:space="preserve"> </w:t>
      </w:r>
      <w:r w:rsidR="00FD6523">
        <w:rPr>
          <w:rFonts w:ascii="Times New Roman" w:hAnsi="Times New Roman" w:cs="Times New Roman"/>
          <w:sz w:val="24"/>
          <w:szCs w:val="24"/>
        </w:rPr>
        <w:t>procentos</w:t>
      </w:r>
    </w:p>
    <w:p w14:paraId="5A4751B5" w14:textId="4D7DC9A3" w:rsidR="00B505AF" w:rsidRPr="00734F1A" w:rsidRDefault="00B505AF" w:rsidP="00B505AF">
      <w:pPr>
        <w:tabs>
          <w:tab w:val="left" w:pos="1134"/>
        </w:tabs>
        <w:spacing w:after="120" w:line="240" w:lineRule="auto"/>
        <w:ind w:firstLine="709"/>
        <w:jc w:val="both"/>
        <w:rPr>
          <w:rFonts w:ascii="Times New Roman" w:eastAsia="Times New Roman" w:hAnsi="Times New Roman" w:cs="Times New Roman"/>
          <w:sz w:val="20"/>
          <w:szCs w:val="20"/>
        </w:rPr>
      </w:pPr>
      <w:r w:rsidRPr="00734F1A">
        <w:rPr>
          <w:rFonts w:ascii="Times New Roman" w:eastAsia="Times New Roman" w:hAnsi="Times New Roman" w:cs="Times New Roman"/>
          <w:i/>
          <w:sz w:val="20"/>
          <w:szCs w:val="20"/>
        </w:rPr>
        <w:t xml:space="preserve">Datu avots: </w:t>
      </w:r>
      <w:r w:rsidRPr="00734F1A">
        <w:rPr>
          <w:rFonts w:ascii="Times New Roman" w:eastAsia="Times New Roman" w:hAnsi="Times New Roman" w:cs="Times New Roman"/>
          <w:sz w:val="20"/>
          <w:szCs w:val="20"/>
        </w:rPr>
        <w:t xml:space="preserve">Zemkopības ministrija pēc </w:t>
      </w:r>
      <w:r>
        <w:rPr>
          <w:rFonts w:ascii="Times New Roman" w:eastAsia="Times New Roman" w:hAnsi="Times New Roman" w:cs="Times New Roman"/>
          <w:sz w:val="20"/>
          <w:szCs w:val="20"/>
        </w:rPr>
        <w:t>VID</w:t>
      </w:r>
      <w:r w:rsidRPr="00734F1A">
        <w:rPr>
          <w:rFonts w:ascii="Times New Roman" w:eastAsia="Times New Roman" w:hAnsi="Times New Roman" w:cs="Times New Roman"/>
          <w:sz w:val="20"/>
          <w:szCs w:val="20"/>
        </w:rPr>
        <w:t xml:space="preserve"> datiem</w:t>
      </w:r>
    </w:p>
    <w:p w14:paraId="5C741032" w14:textId="38842E29" w:rsidR="00583B89" w:rsidRDefault="00583B89" w:rsidP="00583B89">
      <w:pPr>
        <w:tabs>
          <w:tab w:val="left" w:pos="1134"/>
        </w:tabs>
        <w:spacing w:after="0" w:line="240" w:lineRule="auto"/>
        <w:ind w:firstLine="709"/>
        <w:jc w:val="both"/>
        <w:rPr>
          <w:rFonts w:ascii="Times New Roman" w:eastAsia="Times New Roman" w:hAnsi="Times New Roman" w:cs="Times New Roman"/>
          <w:bCs/>
          <w:sz w:val="24"/>
          <w:szCs w:val="24"/>
        </w:rPr>
      </w:pPr>
      <w:r w:rsidRPr="003F3B25">
        <w:rPr>
          <w:rFonts w:ascii="Times New Roman" w:eastAsia="Times New Roman" w:hAnsi="Times New Roman" w:cs="Times New Roman"/>
          <w:bCs/>
          <w:sz w:val="24"/>
          <w:szCs w:val="24"/>
        </w:rPr>
        <w:t>Laikā no 2018. līdz 2019.</w:t>
      </w:r>
      <w:r>
        <w:rPr>
          <w:rFonts w:ascii="Times New Roman" w:eastAsia="Times New Roman" w:hAnsi="Times New Roman" w:cs="Times New Roman"/>
          <w:bCs/>
          <w:sz w:val="24"/>
          <w:szCs w:val="24"/>
        </w:rPr>
        <w:t> </w:t>
      </w:r>
      <w:r w:rsidRPr="003F3B25">
        <w:rPr>
          <w:rFonts w:ascii="Times New Roman" w:eastAsia="Times New Roman" w:hAnsi="Times New Roman" w:cs="Times New Roman"/>
          <w:bCs/>
          <w:sz w:val="24"/>
          <w:szCs w:val="24"/>
        </w:rPr>
        <w:t>gadam apgrozījums darījumiem ar Pievienotās vērtības nodokļa likumā noteiktiem svaigiem augļiem, ogām un dārzeņiem p</w:t>
      </w:r>
      <w:r w:rsidR="00DA279F">
        <w:rPr>
          <w:rFonts w:ascii="Times New Roman" w:eastAsia="Times New Roman" w:hAnsi="Times New Roman" w:cs="Times New Roman"/>
          <w:bCs/>
          <w:sz w:val="24"/>
          <w:szCs w:val="24"/>
        </w:rPr>
        <w:t>alielinājās</w:t>
      </w:r>
      <w:r w:rsidRPr="003F3B25">
        <w:rPr>
          <w:rFonts w:ascii="Times New Roman" w:eastAsia="Times New Roman" w:hAnsi="Times New Roman" w:cs="Times New Roman"/>
          <w:bCs/>
          <w:sz w:val="24"/>
          <w:szCs w:val="24"/>
        </w:rPr>
        <w:t xml:space="preserve"> par 15,</w:t>
      </w:r>
      <w:r>
        <w:rPr>
          <w:rFonts w:ascii="Times New Roman" w:eastAsia="Times New Roman" w:hAnsi="Times New Roman" w:cs="Times New Roman"/>
          <w:bCs/>
          <w:sz w:val="24"/>
          <w:szCs w:val="24"/>
        </w:rPr>
        <w:t>7 </w:t>
      </w:r>
      <w:r w:rsidRPr="003F3B25">
        <w:rPr>
          <w:rFonts w:ascii="Times New Roman" w:eastAsia="Times New Roman" w:hAnsi="Times New Roman" w:cs="Times New Roman"/>
          <w:bCs/>
          <w:sz w:val="24"/>
          <w:szCs w:val="24"/>
        </w:rPr>
        <w:t xml:space="preserve">% jeb </w:t>
      </w:r>
      <w:r>
        <w:rPr>
          <w:rFonts w:ascii="Times New Roman" w:eastAsia="Times New Roman" w:hAnsi="Times New Roman" w:cs="Times New Roman"/>
          <w:bCs/>
          <w:sz w:val="24"/>
          <w:szCs w:val="24"/>
        </w:rPr>
        <w:t>43,33</w:t>
      </w:r>
      <w:r w:rsidR="00235A4A">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milj. </w:t>
      </w:r>
      <w:proofErr w:type="spellStart"/>
      <w:r w:rsidRPr="009F5F3B">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sz w:val="24"/>
          <w:szCs w:val="24"/>
        </w:rPr>
        <w:t xml:space="preserve">, </w:t>
      </w:r>
      <w:r w:rsidR="00235A4A">
        <w:rPr>
          <w:rFonts w:ascii="Times New Roman" w:eastAsia="Times New Roman" w:hAnsi="Times New Roman" w:cs="Times New Roman"/>
          <w:bCs/>
          <w:sz w:val="24"/>
          <w:szCs w:val="24"/>
        </w:rPr>
        <w:t>turpretī</w:t>
      </w:r>
      <w:r>
        <w:rPr>
          <w:rFonts w:ascii="Times New Roman" w:eastAsia="Times New Roman" w:hAnsi="Times New Roman" w:cs="Times New Roman"/>
          <w:bCs/>
          <w:sz w:val="24"/>
          <w:szCs w:val="24"/>
        </w:rPr>
        <w:t xml:space="preserve"> kopējā ar </w:t>
      </w:r>
      <w:r w:rsidR="00B3603E">
        <w:rPr>
          <w:rFonts w:ascii="Times New Roman" w:eastAsia="Times New Roman" w:hAnsi="Times New Roman" w:cs="Times New Roman"/>
          <w:bCs/>
          <w:sz w:val="24"/>
          <w:szCs w:val="24"/>
        </w:rPr>
        <w:t>PVN</w:t>
      </w:r>
      <w:r>
        <w:rPr>
          <w:rFonts w:ascii="Times New Roman" w:eastAsia="Times New Roman" w:hAnsi="Times New Roman" w:cs="Times New Roman"/>
          <w:bCs/>
          <w:sz w:val="24"/>
          <w:szCs w:val="24"/>
        </w:rPr>
        <w:t xml:space="preserve"> apliekamo darījumu vērtība (neieskaitot apliekamos darījumus ar Pievienotās vērtības nodokļa likumā noteiktajiem svaigiem augļiem, ogām un dārzeņiem) </w:t>
      </w:r>
      <w:r w:rsidR="00DA27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vien par 2,6 %. Attiecīgi ar samazināto 5 % </w:t>
      </w:r>
      <w:r w:rsidR="00235A4A">
        <w:rPr>
          <w:rFonts w:ascii="Times New Roman" w:eastAsia="Times New Roman" w:hAnsi="Times New Roman" w:cs="Times New Roman"/>
          <w:bCs/>
          <w:sz w:val="24"/>
          <w:szCs w:val="24"/>
        </w:rPr>
        <w:t xml:space="preserve">PVN </w:t>
      </w:r>
      <w:r>
        <w:rPr>
          <w:rFonts w:ascii="Times New Roman" w:eastAsia="Times New Roman" w:hAnsi="Times New Roman" w:cs="Times New Roman"/>
          <w:bCs/>
          <w:sz w:val="24"/>
          <w:szCs w:val="24"/>
        </w:rPr>
        <w:t xml:space="preserve">likmi apliekamo darījumu </w:t>
      </w:r>
      <w:r w:rsidRPr="003F3B25">
        <w:rPr>
          <w:rFonts w:ascii="Times New Roman" w:eastAsia="Times New Roman" w:hAnsi="Times New Roman" w:cs="Times New Roman"/>
          <w:bCs/>
          <w:sz w:val="24"/>
          <w:szCs w:val="24"/>
        </w:rPr>
        <w:t>ar Pievienotās vērtības nodokļa likumā noteikt</w:t>
      </w:r>
      <w:r w:rsidR="00DA279F">
        <w:rPr>
          <w:rFonts w:ascii="Times New Roman" w:eastAsia="Times New Roman" w:hAnsi="Times New Roman" w:cs="Times New Roman"/>
          <w:bCs/>
          <w:sz w:val="24"/>
          <w:szCs w:val="24"/>
        </w:rPr>
        <w:t>aj</w:t>
      </w:r>
      <w:r w:rsidRPr="003F3B25">
        <w:rPr>
          <w:rFonts w:ascii="Times New Roman" w:eastAsia="Times New Roman" w:hAnsi="Times New Roman" w:cs="Times New Roman"/>
          <w:bCs/>
          <w:sz w:val="24"/>
          <w:szCs w:val="24"/>
        </w:rPr>
        <w:t xml:space="preserve">iem svaigiem augļiem, ogām un dārzeņiem </w:t>
      </w:r>
      <w:r>
        <w:rPr>
          <w:rFonts w:ascii="Times New Roman" w:eastAsia="Times New Roman" w:hAnsi="Times New Roman" w:cs="Times New Roman"/>
          <w:bCs/>
          <w:sz w:val="24"/>
          <w:szCs w:val="24"/>
        </w:rPr>
        <w:t>vērtības gada pārmaiņas salīdzinājumā ar kopējo darījumu</w:t>
      </w:r>
      <w:r w:rsidR="00DA279F">
        <w:rPr>
          <w:rFonts w:ascii="Times New Roman" w:eastAsia="Times New Roman" w:hAnsi="Times New Roman" w:cs="Times New Roman"/>
          <w:bCs/>
          <w:sz w:val="24"/>
          <w:szCs w:val="24"/>
        </w:rPr>
        <w:t xml:space="preserve"> vērtības</w:t>
      </w:r>
      <w:r w:rsidR="00DA279F" w:rsidRPr="00DA279F">
        <w:rPr>
          <w:rFonts w:ascii="Times New Roman" w:eastAsia="Times New Roman" w:hAnsi="Times New Roman" w:cs="Times New Roman"/>
          <w:bCs/>
          <w:sz w:val="24"/>
          <w:szCs w:val="24"/>
        </w:rPr>
        <w:t xml:space="preserve"> </w:t>
      </w:r>
      <w:r w:rsidR="00DA279F">
        <w:rPr>
          <w:rFonts w:ascii="Times New Roman" w:eastAsia="Times New Roman" w:hAnsi="Times New Roman" w:cs="Times New Roman"/>
          <w:bCs/>
          <w:sz w:val="24"/>
          <w:szCs w:val="24"/>
        </w:rPr>
        <w:t>pārmaiņām</w:t>
      </w:r>
      <w:r>
        <w:rPr>
          <w:rFonts w:ascii="Times New Roman" w:eastAsia="Times New Roman" w:hAnsi="Times New Roman" w:cs="Times New Roman"/>
          <w:bCs/>
          <w:sz w:val="24"/>
          <w:szCs w:val="24"/>
        </w:rPr>
        <w:t>, neieskaitot apliekamos darījumus ar Pievienotās vērtības nodokļa likumā noteiktajiem svaigiem augļiem, ogām un dārzeņiem</w:t>
      </w:r>
      <w:r w:rsidR="00DA27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2018./2019. gadā </w:t>
      </w:r>
      <w:r w:rsidRPr="00597F87">
        <w:rPr>
          <w:rFonts w:ascii="Times New Roman" w:eastAsia="Times New Roman" w:hAnsi="Times New Roman" w:cs="Times New Roman"/>
          <w:b/>
          <w:sz w:val="24"/>
          <w:szCs w:val="24"/>
        </w:rPr>
        <w:t xml:space="preserve">bija </w:t>
      </w:r>
      <w:r>
        <w:rPr>
          <w:rFonts w:ascii="Times New Roman" w:eastAsia="Times New Roman" w:hAnsi="Times New Roman" w:cs="Times New Roman"/>
          <w:b/>
          <w:sz w:val="24"/>
          <w:szCs w:val="24"/>
        </w:rPr>
        <w:t xml:space="preserve">par </w:t>
      </w:r>
      <w:r w:rsidRPr="00597F87">
        <w:rPr>
          <w:rFonts w:ascii="Times New Roman" w:eastAsia="Times New Roman" w:hAnsi="Times New Roman" w:cs="Times New Roman"/>
          <w:b/>
          <w:sz w:val="24"/>
          <w:szCs w:val="24"/>
        </w:rPr>
        <w:t>13 procentpunkti</w:t>
      </w:r>
      <w:r>
        <w:rPr>
          <w:rFonts w:ascii="Times New Roman" w:eastAsia="Times New Roman" w:hAnsi="Times New Roman" w:cs="Times New Roman"/>
          <w:b/>
          <w:sz w:val="24"/>
          <w:szCs w:val="24"/>
        </w:rPr>
        <w:t>em lielākas</w:t>
      </w:r>
      <w:r w:rsidRPr="001164A6">
        <w:rPr>
          <w:rFonts w:ascii="Times New Roman" w:eastAsia="Times New Roman" w:hAnsi="Times New Roman" w:cs="Times New Roman"/>
          <w:sz w:val="24"/>
          <w:szCs w:val="24"/>
        </w:rPr>
        <w:t>.</w:t>
      </w:r>
    </w:p>
    <w:p w14:paraId="6B9E333D" w14:textId="343F4095" w:rsidR="00583B89" w:rsidRDefault="00583B89" w:rsidP="00583B89">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Savukārt 2020. gadā a</w:t>
      </w:r>
      <w:r w:rsidRPr="003F3B25">
        <w:rPr>
          <w:rFonts w:ascii="Times New Roman" w:eastAsia="Times New Roman" w:hAnsi="Times New Roman" w:cs="Times New Roman"/>
          <w:bCs/>
          <w:sz w:val="24"/>
          <w:szCs w:val="24"/>
        </w:rPr>
        <w:t>pgrozījums darījumiem ar Pievienotās vērtības nodokļa likumā noteiktiem svaigiem augļiem, ogām un dārzeņiem</w:t>
      </w:r>
      <w:r w:rsidRPr="005F10D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salīdzinājumā ar 2019. gadu pieauga vien par 1,7 %, jeb 5,46 milj. </w:t>
      </w:r>
      <w:proofErr w:type="spellStart"/>
      <w:r w:rsidRPr="00441092">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sz w:val="24"/>
          <w:szCs w:val="24"/>
        </w:rPr>
        <w:t xml:space="preserve">, </w:t>
      </w:r>
      <w:r w:rsidR="00DA279F">
        <w:rPr>
          <w:rFonts w:ascii="Times New Roman" w:eastAsia="Times New Roman" w:hAnsi="Times New Roman" w:cs="Times New Roman"/>
          <w:bCs/>
          <w:sz w:val="24"/>
          <w:szCs w:val="24"/>
        </w:rPr>
        <w:t>turpretī</w:t>
      </w:r>
      <w:r>
        <w:rPr>
          <w:rFonts w:ascii="Times New Roman" w:eastAsia="Times New Roman" w:hAnsi="Times New Roman" w:cs="Times New Roman"/>
          <w:bCs/>
          <w:sz w:val="24"/>
          <w:szCs w:val="24"/>
        </w:rPr>
        <w:t xml:space="preserve"> kopējā ar Pievienotās vērtības nodokli apliekamo darījumu vērtība (neieskaitot apliekamos darījumus ar Pievienotās vērtības nodokļa likumā noteiktajiem svaigiem augļiem, ogām un dārzeņiem) 2020. gadā samazinājās par 6,1 %</w:t>
      </w:r>
      <w:r w:rsidR="00DA279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salīdzinājumā ar 2019. gadu. Attiecīgi ar samazināto 5 % </w:t>
      </w:r>
      <w:r w:rsidR="00DA279F">
        <w:rPr>
          <w:rFonts w:ascii="Times New Roman" w:eastAsia="Times New Roman" w:hAnsi="Times New Roman" w:cs="Times New Roman"/>
          <w:bCs/>
          <w:sz w:val="24"/>
          <w:szCs w:val="24"/>
        </w:rPr>
        <w:t xml:space="preserve">PVN </w:t>
      </w:r>
      <w:r>
        <w:rPr>
          <w:rFonts w:ascii="Times New Roman" w:eastAsia="Times New Roman" w:hAnsi="Times New Roman" w:cs="Times New Roman"/>
          <w:bCs/>
          <w:sz w:val="24"/>
          <w:szCs w:val="24"/>
        </w:rPr>
        <w:t xml:space="preserve">likmi apliekamo darījumu </w:t>
      </w:r>
      <w:r w:rsidRPr="003F3B25">
        <w:rPr>
          <w:rFonts w:ascii="Times New Roman" w:eastAsia="Times New Roman" w:hAnsi="Times New Roman" w:cs="Times New Roman"/>
          <w:bCs/>
          <w:sz w:val="24"/>
          <w:szCs w:val="24"/>
        </w:rPr>
        <w:t xml:space="preserve">ar Pievienotās vērtības nodokļa likumā noteiktiem svaigiem augļiem, ogām un dārzeņiem </w:t>
      </w:r>
      <w:r>
        <w:rPr>
          <w:rFonts w:ascii="Times New Roman" w:eastAsia="Times New Roman" w:hAnsi="Times New Roman" w:cs="Times New Roman"/>
          <w:bCs/>
          <w:sz w:val="24"/>
          <w:szCs w:val="24"/>
        </w:rPr>
        <w:t>vērtības gada pārmaiņas salīdzinājumā ar kopējo darījumu</w:t>
      </w:r>
      <w:r w:rsidR="00DA279F" w:rsidRPr="00DA279F">
        <w:rPr>
          <w:rFonts w:ascii="Times New Roman" w:eastAsia="Times New Roman" w:hAnsi="Times New Roman" w:cs="Times New Roman"/>
          <w:bCs/>
          <w:sz w:val="24"/>
          <w:szCs w:val="24"/>
        </w:rPr>
        <w:t xml:space="preserve"> </w:t>
      </w:r>
      <w:r w:rsidR="00DA279F">
        <w:rPr>
          <w:rFonts w:ascii="Times New Roman" w:eastAsia="Times New Roman" w:hAnsi="Times New Roman" w:cs="Times New Roman"/>
          <w:bCs/>
          <w:sz w:val="24"/>
          <w:szCs w:val="24"/>
        </w:rPr>
        <w:t>vērtības pārmaiņām</w:t>
      </w:r>
      <w:r>
        <w:rPr>
          <w:rFonts w:ascii="Times New Roman" w:eastAsia="Times New Roman" w:hAnsi="Times New Roman" w:cs="Times New Roman"/>
          <w:bCs/>
          <w:sz w:val="24"/>
          <w:szCs w:val="24"/>
        </w:rPr>
        <w:t>, neieskaitot darījumus ar</w:t>
      </w:r>
      <w:r w:rsidRPr="00FB0B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apliekamos darījumus ar Pievienotās vērtības nodokļa likumā noteiktajiem svaigiem augļiem, ogām un dārzeņiem</w:t>
      </w:r>
      <w:r w:rsidR="00DA27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2019./2020. gadā </w:t>
      </w:r>
      <w:r w:rsidRPr="00597F87">
        <w:rPr>
          <w:rFonts w:ascii="Times New Roman" w:eastAsia="Times New Roman" w:hAnsi="Times New Roman" w:cs="Times New Roman"/>
          <w:b/>
          <w:sz w:val="24"/>
          <w:szCs w:val="24"/>
        </w:rPr>
        <w:t>bija</w:t>
      </w:r>
      <w:r>
        <w:rPr>
          <w:rFonts w:ascii="Times New Roman" w:eastAsia="Times New Roman" w:hAnsi="Times New Roman" w:cs="Times New Roman"/>
          <w:b/>
          <w:sz w:val="24"/>
          <w:szCs w:val="24"/>
        </w:rPr>
        <w:t xml:space="preserve"> par</w:t>
      </w:r>
      <w:r w:rsidRPr="00597F87">
        <w:rPr>
          <w:rFonts w:ascii="Times New Roman" w:eastAsia="Times New Roman" w:hAnsi="Times New Roman" w:cs="Times New Roman"/>
          <w:b/>
          <w:sz w:val="24"/>
          <w:szCs w:val="24"/>
        </w:rPr>
        <w:t xml:space="preserve"> </w:t>
      </w:r>
      <w:r w:rsidR="00DA279F">
        <w:rPr>
          <w:rFonts w:ascii="Times New Roman" w:eastAsia="Times New Roman" w:hAnsi="Times New Roman" w:cs="Times New Roman"/>
          <w:b/>
          <w:sz w:val="24"/>
          <w:szCs w:val="24"/>
        </w:rPr>
        <w:t>astoņiem</w:t>
      </w:r>
      <w:r w:rsidRPr="00597F87">
        <w:rPr>
          <w:rFonts w:ascii="Times New Roman" w:eastAsia="Times New Roman" w:hAnsi="Times New Roman" w:cs="Times New Roman"/>
          <w:b/>
          <w:sz w:val="24"/>
          <w:szCs w:val="24"/>
        </w:rPr>
        <w:t xml:space="preserve"> procentpunkti</w:t>
      </w:r>
      <w:r>
        <w:rPr>
          <w:rFonts w:ascii="Times New Roman" w:eastAsia="Times New Roman" w:hAnsi="Times New Roman" w:cs="Times New Roman"/>
          <w:b/>
          <w:sz w:val="24"/>
          <w:szCs w:val="24"/>
        </w:rPr>
        <w:t>em lielākas</w:t>
      </w:r>
      <w:r w:rsidRPr="001164A6">
        <w:rPr>
          <w:rFonts w:ascii="Times New Roman" w:eastAsia="Times New Roman" w:hAnsi="Times New Roman" w:cs="Times New Roman"/>
          <w:sz w:val="24"/>
          <w:szCs w:val="24"/>
        </w:rPr>
        <w:t>.</w:t>
      </w:r>
    </w:p>
    <w:p w14:paraId="2F20ACA3" w14:textId="24450BBE" w:rsidR="00583B89" w:rsidRDefault="00583B89" w:rsidP="00583B89">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Laikā no </w:t>
      </w:r>
      <w:r w:rsidRPr="003F3B25">
        <w:rPr>
          <w:rFonts w:ascii="Times New Roman" w:eastAsia="Times New Roman" w:hAnsi="Times New Roman" w:cs="Times New Roman"/>
          <w:bCs/>
          <w:sz w:val="24"/>
          <w:szCs w:val="24"/>
        </w:rPr>
        <w:t>20</w:t>
      </w:r>
      <w:r>
        <w:rPr>
          <w:rFonts w:ascii="Times New Roman" w:eastAsia="Times New Roman" w:hAnsi="Times New Roman" w:cs="Times New Roman"/>
          <w:bCs/>
          <w:sz w:val="24"/>
          <w:szCs w:val="24"/>
        </w:rPr>
        <w:t>20</w:t>
      </w:r>
      <w:r w:rsidRPr="003F3B2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Pr="003F3B25">
        <w:rPr>
          <w:rFonts w:ascii="Times New Roman" w:eastAsia="Times New Roman" w:hAnsi="Times New Roman" w:cs="Times New Roman"/>
          <w:bCs/>
          <w:sz w:val="24"/>
          <w:szCs w:val="24"/>
        </w:rPr>
        <w:t>līdz 20</w:t>
      </w:r>
      <w:r>
        <w:rPr>
          <w:rFonts w:ascii="Times New Roman" w:eastAsia="Times New Roman" w:hAnsi="Times New Roman" w:cs="Times New Roman"/>
          <w:bCs/>
          <w:sz w:val="24"/>
          <w:szCs w:val="24"/>
        </w:rPr>
        <w:t>21</w:t>
      </w:r>
      <w:r w:rsidRPr="003F3B2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Pr="003F3B25">
        <w:rPr>
          <w:rFonts w:ascii="Times New Roman" w:eastAsia="Times New Roman" w:hAnsi="Times New Roman" w:cs="Times New Roman"/>
          <w:bCs/>
          <w:sz w:val="24"/>
          <w:szCs w:val="24"/>
        </w:rPr>
        <w:t>gadam apgrozījums darījumiem ar Pievienotās vērtības nodokļa likumā noteikt</w:t>
      </w:r>
      <w:r w:rsidR="00E347F7">
        <w:rPr>
          <w:rFonts w:ascii="Times New Roman" w:eastAsia="Times New Roman" w:hAnsi="Times New Roman" w:cs="Times New Roman"/>
          <w:bCs/>
          <w:sz w:val="24"/>
          <w:szCs w:val="24"/>
        </w:rPr>
        <w:t>aj</w:t>
      </w:r>
      <w:r w:rsidRPr="003F3B25">
        <w:rPr>
          <w:rFonts w:ascii="Times New Roman" w:eastAsia="Times New Roman" w:hAnsi="Times New Roman" w:cs="Times New Roman"/>
          <w:bCs/>
          <w:sz w:val="24"/>
          <w:szCs w:val="24"/>
        </w:rPr>
        <w:t>iem svaigiem augļiem, ogām un dārzeņiem pieauga par 1</w:t>
      </w:r>
      <w:r>
        <w:rPr>
          <w:rFonts w:ascii="Times New Roman" w:eastAsia="Times New Roman" w:hAnsi="Times New Roman" w:cs="Times New Roman"/>
          <w:bCs/>
          <w:sz w:val="24"/>
          <w:szCs w:val="24"/>
        </w:rPr>
        <w:t>0,4 </w:t>
      </w:r>
      <w:r w:rsidRPr="003F3B25">
        <w:rPr>
          <w:rFonts w:ascii="Times New Roman" w:eastAsia="Times New Roman" w:hAnsi="Times New Roman" w:cs="Times New Roman"/>
          <w:bCs/>
          <w:sz w:val="24"/>
          <w:szCs w:val="24"/>
        </w:rPr>
        <w:t xml:space="preserve">%, jeb </w:t>
      </w:r>
      <w:r w:rsidRPr="00A9589D">
        <w:rPr>
          <w:rFonts w:ascii="Times New Roman" w:eastAsia="Times New Roman" w:hAnsi="Times New Roman" w:cs="Times New Roman"/>
          <w:bCs/>
          <w:sz w:val="24"/>
          <w:szCs w:val="24"/>
        </w:rPr>
        <w:t>33,61 milj.</w:t>
      </w:r>
      <w:r>
        <w:rPr>
          <w:rFonts w:ascii="Times New Roman" w:eastAsia="Times New Roman" w:hAnsi="Times New Roman" w:cs="Times New Roman"/>
          <w:bCs/>
          <w:sz w:val="24"/>
          <w:szCs w:val="24"/>
        </w:rPr>
        <w:t> </w:t>
      </w:r>
      <w:proofErr w:type="spellStart"/>
      <w:r w:rsidRPr="009F5F3B">
        <w:rPr>
          <w:rFonts w:ascii="Times New Roman" w:eastAsia="Times New Roman" w:hAnsi="Times New Roman" w:cs="Times New Roman"/>
          <w:bCs/>
          <w:i/>
          <w:iCs/>
          <w:sz w:val="24"/>
          <w:szCs w:val="24"/>
        </w:rPr>
        <w:t>euro</w:t>
      </w:r>
      <w:proofErr w:type="spellEnd"/>
      <w:r w:rsidR="00E347F7">
        <w:rPr>
          <w:rFonts w:ascii="Times New Roman" w:eastAsia="Times New Roman" w:hAnsi="Times New Roman" w:cs="Times New Roman"/>
          <w:bCs/>
          <w:sz w:val="24"/>
          <w:szCs w:val="24"/>
        </w:rPr>
        <w:t>, savukārt</w:t>
      </w:r>
      <w:r>
        <w:rPr>
          <w:rFonts w:ascii="Times New Roman" w:eastAsia="Times New Roman" w:hAnsi="Times New Roman" w:cs="Times New Roman"/>
          <w:bCs/>
          <w:sz w:val="24"/>
          <w:szCs w:val="24"/>
        </w:rPr>
        <w:t xml:space="preserve"> kopējā ar Pievienotās vērtības nodokli apliekamo darījumu vērtība </w:t>
      </w:r>
      <w:r>
        <w:rPr>
          <w:rFonts w:ascii="Times New Roman" w:eastAsia="Times New Roman" w:hAnsi="Times New Roman" w:cs="Times New Roman"/>
          <w:bCs/>
          <w:sz w:val="24"/>
          <w:szCs w:val="24"/>
        </w:rPr>
        <w:lastRenderedPageBreak/>
        <w:t xml:space="preserve">(neieskaitot apliekamos darījumus ar Pievienotās vērtības nodokļa likumā noteiktajiem svaigiem augļiem, ogām un dārzeņiem) pieauga </w:t>
      </w:r>
      <w:r w:rsidRPr="00DF1325">
        <w:rPr>
          <w:rFonts w:ascii="Times New Roman" w:eastAsia="Times New Roman" w:hAnsi="Times New Roman" w:cs="Times New Roman"/>
          <w:bCs/>
          <w:sz w:val="24"/>
          <w:szCs w:val="24"/>
        </w:rPr>
        <w:t xml:space="preserve">straujāk </w:t>
      </w:r>
      <w:r w:rsidR="00E347F7">
        <w:rPr>
          <w:rFonts w:ascii="Times New Roman" w:eastAsia="Times New Roman" w:hAnsi="Times New Roman" w:cs="Times New Roman"/>
          <w:bCs/>
          <w:sz w:val="24"/>
          <w:szCs w:val="24"/>
        </w:rPr>
        <w:t xml:space="preserve">– </w:t>
      </w:r>
      <w:r w:rsidRPr="00DF1325">
        <w:rPr>
          <w:rFonts w:ascii="Times New Roman" w:eastAsia="Times New Roman" w:hAnsi="Times New Roman" w:cs="Times New Roman"/>
          <w:bCs/>
          <w:sz w:val="24"/>
          <w:szCs w:val="24"/>
        </w:rPr>
        <w:t>par 19 %.</w:t>
      </w:r>
      <w:r>
        <w:rPr>
          <w:rFonts w:ascii="Times New Roman" w:eastAsia="Times New Roman" w:hAnsi="Times New Roman" w:cs="Times New Roman"/>
          <w:bCs/>
          <w:sz w:val="24"/>
          <w:szCs w:val="24"/>
        </w:rPr>
        <w:t xml:space="preserve"> </w:t>
      </w:r>
      <w:r w:rsidR="00E347F7">
        <w:rPr>
          <w:rFonts w:ascii="Times New Roman" w:eastAsia="Times New Roman" w:hAnsi="Times New Roman" w:cs="Times New Roman"/>
          <w:bCs/>
          <w:sz w:val="24"/>
          <w:szCs w:val="24"/>
        </w:rPr>
        <w:t>Tādējādi</w:t>
      </w:r>
      <w:r>
        <w:rPr>
          <w:rFonts w:ascii="Times New Roman" w:eastAsia="Times New Roman" w:hAnsi="Times New Roman" w:cs="Times New Roman"/>
          <w:bCs/>
          <w:sz w:val="24"/>
          <w:szCs w:val="24"/>
        </w:rPr>
        <w:t xml:space="preserve"> ar samazināto 5 % </w:t>
      </w:r>
      <w:r w:rsidR="00E347F7">
        <w:rPr>
          <w:rFonts w:ascii="Times New Roman" w:eastAsia="Times New Roman" w:hAnsi="Times New Roman" w:cs="Times New Roman"/>
          <w:bCs/>
          <w:sz w:val="24"/>
          <w:szCs w:val="24"/>
        </w:rPr>
        <w:t xml:space="preserve">PVN </w:t>
      </w:r>
      <w:r>
        <w:rPr>
          <w:rFonts w:ascii="Times New Roman" w:eastAsia="Times New Roman" w:hAnsi="Times New Roman" w:cs="Times New Roman"/>
          <w:bCs/>
          <w:sz w:val="24"/>
          <w:szCs w:val="24"/>
        </w:rPr>
        <w:t xml:space="preserve">likmi apliekamo darījumu </w:t>
      </w:r>
      <w:r w:rsidRPr="003F3B25">
        <w:rPr>
          <w:rFonts w:ascii="Times New Roman" w:eastAsia="Times New Roman" w:hAnsi="Times New Roman" w:cs="Times New Roman"/>
          <w:bCs/>
          <w:sz w:val="24"/>
          <w:szCs w:val="24"/>
        </w:rPr>
        <w:t xml:space="preserve">ar Pievienotās vērtības nodokļa likumā noteiktiem svaigiem augļiem, ogām un dārzeņiem </w:t>
      </w:r>
      <w:r>
        <w:rPr>
          <w:rFonts w:ascii="Times New Roman" w:eastAsia="Times New Roman" w:hAnsi="Times New Roman" w:cs="Times New Roman"/>
          <w:bCs/>
          <w:sz w:val="24"/>
          <w:szCs w:val="24"/>
        </w:rPr>
        <w:t>vērtības gada pārmaiņas salīdzinājumā ar kopējo darījumu</w:t>
      </w:r>
      <w:r w:rsidR="00E347F7" w:rsidRPr="00E347F7">
        <w:rPr>
          <w:rFonts w:ascii="Times New Roman" w:eastAsia="Times New Roman" w:hAnsi="Times New Roman" w:cs="Times New Roman"/>
          <w:bCs/>
          <w:sz w:val="24"/>
          <w:szCs w:val="24"/>
        </w:rPr>
        <w:t xml:space="preserve"> </w:t>
      </w:r>
      <w:r w:rsidR="00E347F7" w:rsidRPr="00A95771">
        <w:rPr>
          <w:rFonts w:ascii="Times New Roman" w:eastAsia="Times New Roman" w:hAnsi="Times New Roman" w:cs="Times New Roman"/>
          <w:bCs/>
          <w:sz w:val="24"/>
          <w:szCs w:val="24"/>
        </w:rPr>
        <w:t>vērtības pārmaiņām</w:t>
      </w:r>
      <w:r>
        <w:rPr>
          <w:rFonts w:ascii="Times New Roman" w:eastAsia="Times New Roman" w:hAnsi="Times New Roman" w:cs="Times New Roman"/>
          <w:bCs/>
          <w:sz w:val="24"/>
          <w:szCs w:val="24"/>
        </w:rPr>
        <w:t>, neieskaitot darījumus ar</w:t>
      </w:r>
      <w:r w:rsidRPr="00FB0B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apliekamos darījumus ar Pievienotās vērtības nodokļa likumā noteiktajiem </w:t>
      </w:r>
      <w:r w:rsidRPr="00A95771">
        <w:rPr>
          <w:rFonts w:ascii="Times New Roman" w:eastAsia="Times New Roman" w:hAnsi="Times New Roman" w:cs="Times New Roman"/>
          <w:bCs/>
          <w:sz w:val="24"/>
          <w:szCs w:val="24"/>
        </w:rPr>
        <w:t>svaigiem augļiem, ogām un dārzeņiem</w:t>
      </w:r>
      <w:r w:rsidR="00E347F7">
        <w:rPr>
          <w:rFonts w:ascii="Times New Roman" w:eastAsia="Times New Roman" w:hAnsi="Times New Roman" w:cs="Times New Roman"/>
          <w:bCs/>
          <w:sz w:val="24"/>
          <w:szCs w:val="24"/>
        </w:rPr>
        <w:t>,</w:t>
      </w:r>
      <w:r w:rsidRPr="00A95771">
        <w:rPr>
          <w:rFonts w:ascii="Times New Roman" w:eastAsia="Times New Roman" w:hAnsi="Times New Roman" w:cs="Times New Roman"/>
          <w:bCs/>
          <w:sz w:val="24"/>
          <w:szCs w:val="24"/>
        </w:rPr>
        <w:t xml:space="preserve"> 2021./2020.</w:t>
      </w:r>
      <w:r w:rsidR="00DA279F">
        <w:rPr>
          <w:rFonts w:ascii="Times New Roman" w:eastAsia="Times New Roman" w:hAnsi="Times New Roman" w:cs="Times New Roman"/>
          <w:bCs/>
          <w:sz w:val="24"/>
          <w:szCs w:val="24"/>
        </w:rPr>
        <w:t> </w:t>
      </w:r>
      <w:r w:rsidRPr="00A95771">
        <w:rPr>
          <w:rFonts w:ascii="Times New Roman" w:eastAsia="Times New Roman" w:hAnsi="Times New Roman" w:cs="Times New Roman"/>
          <w:bCs/>
          <w:sz w:val="24"/>
          <w:szCs w:val="24"/>
        </w:rPr>
        <w:t xml:space="preserve">gadā </w:t>
      </w:r>
      <w:r w:rsidRPr="00A95771">
        <w:rPr>
          <w:rFonts w:ascii="Times New Roman" w:eastAsia="Times New Roman" w:hAnsi="Times New Roman" w:cs="Times New Roman"/>
          <w:b/>
          <w:sz w:val="24"/>
          <w:szCs w:val="24"/>
        </w:rPr>
        <w:t xml:space="preserve">bija par </w:t>
      </w:r>
      <w:r w:rsidR="00DA279F">
        <w:rPr>
          <w:rFonts w:ascii="Times New Roman" w:eastAsia="Times New Roman" w:hAnsi="Times New Roman" w:cs="Times New Roman"/>
          <w:b/>
          <w:sz w:val="24"/>
          <w:szCs w:val="24"/>
        </w:rPr>
        <w:t>deviņiem</w:t>
      </w:r>
      <w:r w:rsidRPr="00A95771">
        <w:rPr>
          <w:rFonts w:ascii="Times New Roman" w:eastAsia="Times New Roman" w:hAnsi="Times New Roman" w:cs="Times New Roman"/>
          <w:b/>
          <w:sz w:val="24"/>
          <w:szCs w:val="24"/>
        </w:rPr>
        <w:t xml:space="preserve"> procentpunktiem mazākas</w:t>
      </w:r>
      <w:r w:rsidRPr="001164A6">
        <w:rPr>
          <w:rFonts w:ascii="Times New Roman" w:eastAsia="Times New Roman" w:hAnsi="Times New Roman" w:cs="Times New Roman"/>
          <w:sz w:val="24"/>
          <w:szCs w:val="24"/>
        </w:rPr>
        <w:t>.</w:t>
      </w:r>
    </w:p>
    <w:p w14:paraId="4E4F90E7" w14:textId="32307F60" w:rsidR="001255AB" w:rsidRDefault="001255AB" w:rsidP="001255AB">
      <w:pPr>
        <w:tabs>
          <w:tab w:val="left" w:pos="1134"/>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Vērtējot situāciju 2022. gadā, </w:t>
      </w:r>
      <w:r w:rsidR="00DA279F">
        <w:rPr>
          <w:rFonts w:ascii="Times New Roman" w:eastAsia="Times New Roman" w:hAnsi="Times New Roman" w:cs="Times New Roman"/>
          <w:bCs/>
          <w:sz w:val="24"/>
          <w:szCs w:val="24"/>
        </w:rPr>
        <w:t>jā</w:t>
      </w:r>
      <w:r>
        <w:rPr>
          <w:rFonts w:ascii="Times New Roman" w:eastAsia="Times New Roman" w:hAnsi="Times New Roman" w:cs="Times New Roman"/>
          <w:bCs/>
          <w:sz w:val="24"/>
          <w:szCs w:val="24"/>
        </w:rPr>
        <w:t>secin</w:t>
      </w:r>
      <w:r w:rsidR="00DA279F">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ka a</w:t>
      </w:r>
      <w:r w:rsidRPr="003F3B25">
        <w:rPr>
          <w:rFonts w:ascii="Times New Roman" w:eastAsia="Times New Roman" w:hAnsi="Times New Roman" w:cs="Times New Roman"/>
          <w:bCs/>
          <w:sz w:val="24"/>
          <w:szCs w:val="24"/>
        </w:rPr>
        <w:t>pgrozījum</w:t>
      </w:r>
      <w:r>
        <w:rPr>
          <w:rFonts w:ascii="Times New Roman" w:eastAsia="Times New Roman" w:hAnsi="Times New Roman" w:cs="Times New Roman"/>
          <w:bCs/>
          <w:sz w:val="24"/>
          <w:szCs w:val="24"/>
        </w:rPr>
        <w:t>a</w:t>
      </w:r>
      <w:r w:rsidRPr="003F3B25">
        <w:rPr>
          <w:rFonts w:ascii="Times New Roman" w:eastAsia="Times New Roman" w:hAnsi="Times New Roman" w:cs="Times New Roman"/>
          <w:bCs/>
          <w:sz w:val="24"/>
          <w:szCs w:val="24"/>
        </w:rPr>
        <w:t xml:space="preserve"> </w:t>
      </w:r>
      <w:r w:rsidR="00E347F7">
        <w:rPr>
          <w:rFonts w:ascii="Times New Roman" w:eastAsia="Times New Roman" w:hAnsi="Times New Roman" w:cs="Times New Roman"/>
          <w:bCs/>
          <w:sz w:val="24"/>
          <w:szCs w:val="24"/>
        </w:rPr>
        <w:t xml:space="preserve">kāpums </w:t>
      </w:r>
      <w:r w:rsidRPr="003F3B25">
        <w:rPr>
          <w:rFonts w:ascii="Times New Roman" w:eastAsia="Times New Roman" w:hAnsi="Times New Roman" w:cs="Times New Roman"/>
          <w:bCs/>
          <w:sz w:val="24"/>
          <w:szCs w:val="24"/>
        </w:rPr>
        <w:t>darījumiem ar Pievienotās vērtības nodokļa likumā noteikt</w:t>
      </w:r>
      <w:r w:rsidR="00E347F7">
        <w:rPr>
          <w:rFonts w:ascii="Times New Roman" w:eastAsia="Times New Roman" w:hAnsi="Times New Roman" w:cs="Times New Roman"/>
          <w:bCs/>
          <w:sz w:val="24"/>
          <w:szCs w:val="24"/>
        </w:rPr>
        <w:t>aj</w:t>
      </w:r>
      <w:r w:rsidRPr="003F3B25">
        <w:rPr>
          <w:rFonts w:ascii="Times New Roman" w:eastAsia="Times New Roman" w:hAnsi="Times New Roman" w:cs="Times New Roman"/>
          <w:bCs/>
          <w:sz w:val="24"/>
          <w:szCs w:val="24"/>
        </w:rPr>
        <w:t>iem svaigiem augļiem, ogām un dārzeņiem</w:t>
      </w:r>
      <w:r w:rsidRPr="005F10D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salīdzinājumā ar 2021. gadu atgriezās </w:t>
      </w:r>
      <w:r w:rsidR="00E347F7">
        <w:rPr>
          <w:rFonts w:ascii="Times New Roman" w:eastAsia="Times New Roman" w:hAnsi="Times New Roman" w:cs="Times New Roman"/>
          <w:bCs/>
          <w:sz w:val="24"/>
          <w:szCs w:val="24"/>
        </w:rPr>
        <w:t xml:space="preserve">tajā līmenī, kāds tas bija </w:t>
      </w:r>
      <w:r>
        <w:rPr>
          <w:rFonts w:ascii="Times New Roman" w:eastAsia="Times New Roman" w:hAnsi="Times New Roman" w:cs="Times New Roman"/>
          <w:bCs/>
          <w:sz w:val="24"/>
          <w:szCs w:val="24"/>
        </w:rPr>
        <w:t>pirms</w:t>
      </w:r>
      <w:r w:rsidR="0096727A">
        <w:rPr>
          <w:rFonts w:ascii="Times New Roman" w:eastAsia="Times New Roman" w:hAnsi="Times New Roman" w:cs="Times New Roman"/>
          <w:bCs/>
          <w:sz w:val="24"/>
          <w:szCs w:val="24"/>
        </w:rPr>
        <w:t xml:space="preserve"> </w:t>
      </w:r>
      <w:proofErr w:type="spellStart"/>
      <w:r w:rsidR="0096727A">
        <w:rPr>
          <w:rFonts w:ascii="Times New Roman" w:eastAsia="Times New Roman" w:hAnsi="Times New Roman" w:cs="Times New Roman"/>
          <w:bCs/>
          <w:sz w:val="24"/>
          <w:szCs w:val="24"/>
        </w:rPr>
        <w:t>Covid</w:t>
      </w:r>
      <w:r w:rsidR="00E347F7">
        <w:rPr>
          <w:rFonts w:ascii="Times New Roman" w:eastAsia="Times New Roman" w:hAnsi="Times New Roman" w:cs="Times New Roman"/>
          <w:bCs/>
          <w:sz w:val="24"/>
          <w:szCs w:val="24"/>
        </w:rPr>
        <w:t>-</w:t>
      </w:r>
      <w:r w:rsidR="0096727A">
        <w:rPr>
          <w:rFonts w:ascii="Times New Roman" w:eastAsia="Times New Roman" w:hAnsi="Times New Roman" w:cs="Times New Roman"/>
          <w:bCs/>
          <w:sz w:val="24"/>
          <w:szCs w:val="24"/>
        </w:rPr>
        <w:t>19</w:t>
      </w:r>
      <w:proofErr w:type="spellEnd"/>
      <w:r w:rsidR="0096727A">
        <w:rPr>
          <w:rFonts w:ascii="Times New Roman" w:eastAsia="Times New Roman" w:hAnsi="Times New Roman" w:cs="Times New Roman"/>
          <w:bCs/>
          <w:sz w:val="24"/>
          <w:szCs w:val="24"/>
        </w:rPr>
        <w:t xml:space="preserve"> pandēmijas</w:t>
      </w:r>
      <w:r w:rsidR="00E347F7">
        <w:rPr>
          <w:rFonts w:ascii="Times New Roman" w:eastAsia="Times New Roman" w:hAnsi="Times New Roman" w:cs="Times New Roman"/>
          <w:bCs/>
          <w:sz w:val="24"/>
          <w:szCs w:val="24"/>
        </w:rPr>
        <w:t>,</w:t>
      </w:r>
      <w:r w:rsidR="0096727A">
        <w:rPr>
          <w:rFonts w:ascii="Times New Roman" w:eastAsia="Times New Roman" w:hAnsi="Times New Roman" w:cs="Times New Roman"/>
          <w:bCs/>
          <w:sz w:val="24"/>
          <w:szCs w:val="24"/>
        </w:rPr>
        <w:t xml:space="preserve"> un bija</w:t>
      </w:r>
      <w:r>
        <w:rPr>
          <w:rFonts w:ascii="Times New Roman" w:eastAsia="Times New Roman" w:hAnsi="Times New Roman" w:cs="Times New Roman"/>
          <w:bCs/>
          <w:sz w:val="24"/>
          <w:szCs w:val="24"/>
        </w:rPr>
        <w:t xml:space="preserve"> par </w:t>
      </w:r>
      <w:r w:rsidR="0096727A">
        <w:rPr>
          <w:rFonts w:ascii="Times New Roman" w:eastAsia="Times New Roman" w:hAnsi="Times New Roman" w:cs="Times New Roman"/>
          <w:bCs/>
          <w:sz w:val="24"/>
          <w:szCs w:val="24"/>
        </w:rPr>
        <w:t>17,5</w:t>
      </w:r>
      <w:r>
        <w:rPr>
          <w:rFonts w:ascii="Times New Roman" w:eastAsia="Times New Roman" w:hAnsi="Times New Roman" w:cs="Times New Roman"/>
          <w:bCs/>
          <w:sz w:val="24"/>
          <w:szCs w:val="24"/>
        </w:rPr>
        <w:t xml:space="preserve"> % jeb </w:t>
      </w:r>
      <w:r w:rsidR="00C86919">
        <w:rPr>
          <w:rFonts w:ascii="Times New Roman" w:eastAsia="Times New Roman" w:hAnsi="Times New Roman" w:cs="Times New Roman"/>
          <w:bCs/>
          <w:sz w:val="24"/>
          <w:szCs w:val="24"/>
        </w:rPr>
        <w:t>62,77</w:t>
      </w:r>
      <w:r>
        <w:rPr>
          <w:rFonts w:ascii="Times New Roman" w:eastAsia="Times New Roman" w:hAnsi="Times New Roman" w:cs="Times New Roman"/>
          <w:bCs/>
          <w:sz w:val="24"/>
          <w:szCs w:val="24"/>
        </w:rPr>
        <w:t xml:space="preserve"> milj. </w:t>
      </w:r>
      <w:proofErr w:type="spellStart"/>
      <w:r w:rsidRPr="00441092">
        <w:rPr>
          <w:rFonts w:ascii="Times New Roman" w:eastAsia="Times New Roman" w:hAnsi="Times New Roman" w:cs="Times New Roman"/>
          <w:bCs/>
          <w:i/>
          <w:iCs/>
          <w:sz w:val="24"/>
          <w:szCs w:val="24"/>
        </w:rPr>
        <w:t>euro</w:t>
      </w:r>
      <w:proofErr w:type="spellEnd"/>
      <w:r w:rsidR="00C86919">
        <w:rPr>
          <w:rFonts w:ascii="Times New Roman" w:eastAsia="Times New Roman" w:hAnsi="Times New Roman" w:cs="Times New Roman"/>
          <w:bCs/>
          <w:i/>
          <w:iCs/>
          <w:sz w:val="24"/>
          <w:szCs w:val="24"/>
        </w:rPr>
        <w:t xml:space="preserve"> </w:t>
      </w:r>
      <w:r w:rsidR="00E347F7">
        <w:rPr>
          <w:rFonts w:ascii="Times New Roman" w:eastAsia="Times New Roman" w:hAnsi="Times New Roman" w:cs="Times New Roman"/>
          <w:bCs/>
          <w:sz w:val="24"/>
          <w:szCs w:val="24"/>
        </w:rPr>
        <w:t>lielāks</w:t>
      </w:r>
      <w:r w:rsidR="00AC205E">
        <w:rPr>
          <w:rFonts w:ascii="Times New Roman" w:eastAsia="Times New Roman" w:hAnsi="Times New Roman" w:cs="Times New Roman"/>
          <w:bCs/>
          <w:sz w:val="24"/>
          <w:szCs w:val="24"/>
        </w:rPr>
        <w:t xml:space="preserve">. Salīdzinoši </w:t>
      </w:r>
      <w:r>
        <w:rPr>
          <w:rFonts w:ascii="Times New Roman" w:eastAsia="Times New Roman" w:hAnsi="Times New Roman" w:cs="Times New Roman"/>
          <w:bCs/>
          <w:sz w:val="24"/>
          <w:szCs w:val="24"/>
        </w:rPr>
        <w:t>kopējā ar Pievienotās vērtības nodokli apliekamo darījumu vērtība (neieskaitot apliekamos darījumus ar Pievienotās vērtības nodokļa likumā noteiktajiem svaigiem augļiem, ogām un dārzeņiem) 202</w:t>
      </w:r>
      <w:r w:rsidR="00C8691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gadā </w:t>
      </w:r>
      <w:r w:rsidR="00AC205E">
        <w:rPr>
          <w:rFonts w:ascii="Times New Roman" w:eastAsia="Times New Roman" w:hAnsi="Times New Roman" w:cs="Times New Roman"/>
          <w:bCs/>
          <w:sz w:val="24"/>
          <w:szCs w:val="24"/>
        </w:rPr>
        <w:t xml:space="preserve">pieauga </w:t>
      </w:r>
      <w:r>
        <w:rPr>
          <w:rFonts w:ascii="Times New Roman" w:eastAsia="Times New Roman" w:hAnsi="Times New Roman" w:cs="Times New Roman"/>
          <w:bCs/>
          <w:sz w:val="24"/>
          <w:szCs w:val="24"/>
        </w:rPr>
        <w:t xml:space="preserve">par </w:t>
      </w:r>
      <w:r w:rsidR="00AC205E">
        <w:rPr>
          <w:rFonts w:ascii="Times New Roman" w:eastAsia="Times New Roman" w:hAnsi="Times New Roman" w:cs="Times New Roman"/>
          <w:bCs/>
          <w:sz w:val="24"/>
          <w:szCs w:val="24"/>
        </w:rPr>
        <w:t>19,8</w:t>
      </w:r>
      <w:r>
        <w:rPr>
          <w:rFonts w:ascii="Times New Roman" w:eastAsia="Times New Roman" w:hAnsi="Times New Roman" w:cs="Times New Roman"/>
          <w:bCs/>
          <w:sz w:val="24"/>
          <w:szCs w:val="24"/>
        </w:rPr>
        <w:t> %</w:t>
      </w:r>
      <w:r w:rsidR="00E347F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salīdzinājumā ar 20</w:t>
      </w:r>
      <w:r w:rsidR="00AC205E">
        <w:rPr>
          <w:rFonts w:ascii="Times New Roman" w:eastAsia="Times New Roman" w:hAnsi="Times New Roman" w:cs="Times New Roman"/>
          <w:bCs/>
          <w:sz w:val="24"/>
          <w:szCs w:val="24"/>
        </w:rPr>
        <w:t>21</w:t>
      </w:r>
      <w:r>
        <w:rPr>
          <w:rFonts w:ascii="Times New Roman" w:eastAsia="Times New Roman" w:hAnsi="Times New Roman" w:cs="Times New Roman"/>
          <w:bCs/>
          <w:sz w:val="24"/>
          <w:szCs w:val="24"/>
        </w:rPr>
        <w:t xml:space="preserve">. gadu. </w:t>
      </w:r>
      <w:r w:rsidR="00E347F7">
        <w:rPr>
          <w:rFonts w:ascii="Times New Roman" w:eastAsia="Times New Roman" w:hAnsi="Times New Roman" w:cs="Times New Roman"/>
          <w:bCs/>
          <w:sz w:val="24"/>
          <w:szCs w:val="24"/>
        </w:rPr>
        <w:t>Tādējādi</w:t>
      </w:r>
      <w:r>
        <w:rPr>
          <w:rFonts w:ascii="Times New Roman" w:eastAsia="Times New Roman" w:hAnsi="Times New Roman" w:cs="Times New Roman"/>
          <w:bCs/>
          <w:sz w:val="24"/>
          <w:szCs w:val="24"/>
        </w:rPr>
        <w:t xml:space="preserve"> samazināto 5 % </w:t>
      </w:r>
      <w:r w:rsidR="00DA279F">
        <w:rPr>
          <w:rFonts w:ascii="Times New Roman" w:eastAsia="Times New Roman" w:hAnsi="Times New Roman" w:cs="Times New Roman"/>
          <w:bCs/>
          <w:sz w:val="24"/>
          <w:szCs w:val="24"/>
        </w:rPr>
        <w:t xml:space="preserve">PVN </w:t>
      </w:r>
      <w:r>
        <w:rPr>
          <w:rFonts w:ascii="Times New Roman" w:eastAsia="Times New Roman" w:hAnsi="Times New Roman" w:cs="Times New Roman"/>
          <w:bCs/>
          <w:sz w:val="24"/>
          <w:szCs w:val="24"/>
        </w:rPr>
        <w:t xml:space="preserve">likmi apliekamo darījumu </w:t>
      </w:r>
      <w:r w:rsidRPr="003F3B25">
        <w:rPr>
          <w:rFonts w:ascii="Times New Roman" w:eastAsia="Times New Roman" w:hAnsi="Times New Roman" w:cs="Times New Roman"/>
          <w:bCs/>
          <w:sz w:val="24"/>
          <w:szCs w:val="24"/>
        </w:rPr>
        <w:t>ar Pievienotās vērtības nodokļa likumā noteikt</w:t>
      </w:r>
      <w:r w:rsidR="00E347F7">
        <w:rPr>
          <w:rFonts w:ascii="Times New Roman" w:eastAsia="Times New Roman" w:hAnsi="Times New Roman" w:cs="Times New Roman"/>
          <w:bCs/>
          <w:sz w:val="24"/>
          <w:szCs w:val="24"/>
        </w:rPr>
        <w:t>aj</w:t>
      </w:r>
      <w:r w:rsidRPr="003F3B25">
        <w:rPr>
          <w:rFonts w:ascii="Times New Roman" w:eastAsia="Times New Roman" w:hAnsi="Times New Roman" w:cs="Times New Roman"/>
          <w:bCs/>
          <w:sz w:val="24"/>
          <w:szCs w:val="24"/>
        </w:rPr>
        <w:t xml:space="preserve">iem svaigiem augļiem, ogām un dārzeņiem </w:t>
      </w:r>
      <w:r>
        <w:rPr>
          <w:rFonts w:ascii="Times New Roman" w:eastAsia="Times New Roman" w:hAnsi="Times New Roman" w:cs="Times New Roman"/>
          <w:bCs/>
          <w:sz w:val="24"/>
          <w:szCs w:val="24"/>
        </w:rPr>
        <w:t>vērtības gada pārmaiņas salīdzinājumā ar kopējo darījumu</w:t>
      </w:r>
      <w:r w:rsidR="00E347F7" w:rsidRPr="00E347F7">
        <w:rPr>
          <w:rFonts w:ascii="Times New Roman" w:eastAsia="Times New Roman" w:hAnsi="Times New Roman" w:cs="Times New Roman"/>
          <w:bCs/>
          <w:sz w:val="24"/>
          <w:szCs w:val="24"/>
        </w:rPr>
        <w:t xml:space="preserve"> </w:t>
      </w:r>
      <w:r w:rsidR="00E347F7">
        <w:rPr>
          <w:rFonts w:ascii="Times New Roman" w:eastAsia="Times New Roman" w:hAnsi="Times New Roman" w:cs="Times New Roman"/>
          <w:bCs/>
          <w:sz w:val="24"/>
          <w:szCs w:val="24"/>
        </w:rPr>
        <w:t>vērtības pārmaiņām</w:t>
      </w:r>
      <w:r>
        <w:rPr>
          <w:rFonts w:ascii="Times New Roman" w:eastAsia="Times New Roman" w:hAnsi="Times New Roman" w:cs="Times New Roman"/>
          <w:bCs/>
          <w:sz w:val="24"/>
          <w:szCs w:val="24"/>
        </w:rPr>
        <w:t>, neieskaitot darījumus ar</w:t>
      </w:r>
      <w:r w:rsidRPr="00FB0BE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apliekamos darījumus ar Pievienotās vērtības nodokļa likumā noteiktajiem svaigiem augļiem, ogām un dārzeņiem</w:t>
      </w:r>
      <w:r w:rsidR="00E347F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20</w:t>
      </w:r>
      <w:r w:rsidR="00AC205E">
        <w:rPr>
          <w:rFonts w:ascii="Times New Roman" w:eastAsia="Times New Roman" w:hAnsi="Times New Roman" w:cs="Times New Roman"/>
          <w:bCs/>
          <w:sz w:val="24"/>
          <w:szCs w:val="24"/>
        </w:rPr>
        <w:t>22</w:t>
      </w:r>
      <w:r>
        <w:rPr>
          <w:rFonts w:ascii="Times New Roman" w:eastAsia="Times New Roman" w:hAnsi="Times New Roman" w:cs="Times New Roman"/>
          <w:bCs/>
          <w:sz w:val="24"/>
          <w:szCs w:val="24"/>
        </w:rPr>
        <w:t>./202</w:t>
      </w:r>
      <w:r w:rsidR="00AC205E">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gadā </w:t>
      </w:r>
      <w:r w:rsidRPr="00597F87">
        <w:rPr>
          <w:rFonts w:ascii="Times New Roman" w:eastAsia="Times New Roman" w:hAnsi="Times New Roman" w:cs="Times New Roman"/>
          <w:b/>
          <w:sz w:val="24"/>
          <w:szCs w:val="24"/>
        </w:rPr>
        <w:t>bija</w:t>
      </w:r>
      <w:r>
        <w:rPr>
          <w:rFonts w:ascii="Times New Roman" w:eastAsia="Times New Roman" w:hAnsi="Times New Roman" w:cs="Times New Roman"/>
          <w:b/>
          <w:sz w:val="24"/>
          <w:szCs w:val="24"/>
        </w:rPr>
        <w:t xml:space="preserve"> par</w:t>
      </w:r>
      <w:r w:rsidRPr="00597F87">
        <w:rPr>
          <w:rFonts w:ascii="Times New Roman" w:eastAsia="Times New Roman" w:hAnsi="Times New Roman" w:cs="Times New Roman"/>
          <w:b/>
          <w:sz w:val="24"/>
          <w:szCs w:val="24"/>
        </w:rPr>
        <w:t xml:space="preserve"> </w:t>
      </w:r>
      <w:r w:rsidR="00E347F7">
        <w:rPr>
          <w:rFonts w:ascii="Times New Roman" w:eastAsia="Times New Roman" w:hAnsi="Times New Roman" w:cs="Times New Roman"/>
          <w:b/>
          <w:sz w:val="24"/>
          <w:szCs w:val="24"/>
        </w:rPr>
        <w:t>diviem</w:t>
      </w:r>
      <w:r w:rsidRPr="00597F87">
        <w:rPr>
          <w:rFonts w:ascii="Times New Roman" w:eastAsia="Times New Roman" w:hAnsi="Times New Roman" w:cs="Times New Roman"/>
          <w:b/>
          <w:sz w:val="24"/>
          <w:szCs w:val="24"/>
        </w:rPr>
        <w:t xml:space="preserve"> procentpunkti</w:t>
      </w:r>
      <w:r>
        <w:rPr>
          <w:rFonts w:ascii="Times New Roman" w:eastAsia="Times New Roman" w:hAnsi="Times New Roman" w:cs="Times New Roman"/>
          <w:b/>
          <w:sz w:val="24"/>
          <w:szCs w:val="24"/>
        </w:rPr>
        <w:t xml:space="preserve">em </w:t>
      </w:r>
      <w:r w:rsidR="00AC205E">
        <w:rPr>
          <w:rFonts w:ascii="Times New Roman" w:eastAsia="Times New Roman" w:hAnsi="Times New Roman" w:cs="Times New Roman"/>
          <w:b/>
          <w:sz w:val="24"/>
          <w:szCs w:val="24"/>
        </w:rPr>
        <w:t>mazāka</w:t>
      </w:r>
      <w:r w:rsidR="00842586">
        <w:rPr>
          <w:rFonts w:ascii="Times New Roman" w:eastAsia="Times New Roman" w:hAnsi="Times New Roman" w:cs="Times New Roman"/>
          <w:b/>
          <w:sz w:val="24"/>
          <w:szCs w:val="24"/>
        </w:rPr>
        <w:t>s</w:t>
      </w:r>
      <w:r w:rsidRPr="001164A6">
        <w:rPr>
          <w:rFonts w:ascii="Times New Roman" w:eastAsia="Times New Roman" w:hAnsi="Times New Roman" w:cs="Times New Roman"/>
          <w:sz w:val="24"/>
          <w:szCs w:val="24"/>
        </w:rPr>
        <w:t>.</w:t>
      </w:r>
    </w:p>
    <w:p w14:paraId="52CF07B1" w14:textId="2AEF4EC1" w:rsidR="00BF5327" w:rsidRDefault="00BF5327" w:rsidP="00BF5327">
      <w:pPr>
        <w:tabs>
          <w:tab w:val="left" w:pos="1134"/>
        </w:tabs>
        <w:spacing w:before="120" w:after="12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2.tabula</w:t>
      </w:r>
    </w:p>
    <w:tbl>
      <w:tblPr>
        <w:tblStyle w:val="TableGrid"/>
        <w:tblW w:w="0" w:type="auto"/>
        <w:jc w:val="center"/>
        <w:tblLook w:val="04A0" w:firstRow="1" w:lastRow="0" w:firstColumn="1" w:lastColumn="0" w:noHBand="0" w:noVBand="1"/>
      </w:tblPr>
      <w:tblGrid>
        <w:gridCol w:w="1609"/>
        <w:gridCol w:w="1863"/>
        <w:gridCol w:w="1863"/>
        <w:gridCol w:w="1863"/>
        <w:gridCol w:w="1863"/>
      </w:tblGrid>
      <w:tr w:rsidR="009A36DC" w14:paraId="73020275" w14:textId="77777777" w:rsidTr="00A2223D">
        <w:trPr>
          <w:jc w:val="center"/>
        </w:trPr>
        <w:tc>
          <w:tcPr>
            <w:tcW w:w="9061" w:type="dxa"/>
            <w:gridSpan w:val="5"/>
          </w:tcPr>
          <w:p w14:paraId="494EE708" w14:textId="038A501D" w:rsidR="009A36DC" w:rsidRPr="00FC1318" w:rsidRDefault="00C70485" w:rsidP="00DB4887">
            <w:pPr>
              <w:tabs>
                <w:tab w:val="left" w:pos="1134"/>
              </w:tabs>
              <w:spacing w:after="120"/>
              <w:jc w:val="both"/>
              <w:rPr>
                <w:rFonts w:ascii="Times New Roman" w:eastAsia="Times New Roman" w:hAnsi="Times New Roman" w:cs="Times New Roman"/>
                <w:b/>
                <w:sz w:val="24"/>
                <w:szCs w:val="24"/>
              </w:rPr>
            </w:pPr>
            <w:bookmarkStart w:id="0" w:name="_Hlk139964218"/>
            <w:r w:rsidRPr="00FC1318">
              <w:rPr>
                <w:rFonts w:ascii="Times New Roman" w:eastAsia="Times New Roman" w:hAnsi="Times New Roman" w:cs="Times New Roman"/>
                <w:b/>
                <w:sz w:val="24"/>
                <w:szCs w:val="24"/>
              </w:rPr>
              <w:t>Rezultat</w:t>
            </w:r>
            <w:r w:rsidR="00E1492C" w:rsidRPr="00FC1318">
              <w:rPr>
                <w:rFonts w:ascii="Times New Roman" w:eastAsia="Times New Roman" w:hAnsi="Times New Roman" w:cs="Times New Roman"/>
                <w:b/>
                <w:sz w:val="24"/>
                <w:szCs w:val="24"/>
              </w:rPr>
              <w:t>īvais rādītājs “</w:t>
            </w:r>
            <w:r w:rsidR="00E1492C" w:rsidRPr="00FC1318">
              <w:rPr>
                <w:rFonts w:ascii="Times New Roman" w:eastAsia="Times New Roman" w:hAnsi="Times New Roman"/>
                <w:b/>
                <w:sz w:val="24"/>
                <w:szCs w:val="24"/>
                <w:lang w:eastAsia="lv-LV"/>
              </w:rPr>
              <w:t>Apgrozījums darījumiem ar Pievienotās vērtības nodokļa likuma 1.</w:t>
            </w:r>
            <w:r w:rsidR="00E347F7">
              <w:rPr>
                <w:rFonts w:ascii="Times New Roman" w:eastAsia="Times New Roman" w:hAnsi="Times New Roman"/>
                <w:b/>
                <w:sz w:val="24"/>
                <w:szCs w:val="24"/>
                <w:lang w:eastAsia="lv-LV"/>
              </w:rPr>
              <w:t> </w:t>
            </w:r>
            <w:r w:rsidR="00E1492C" w:rsidRPr="00FC1318">
              <w:rPr>
                <w:rFonts w:ascii="Times New Roman" w:eastAsia="Times New Roman" w:hAnsi="Times New Roman"/>
                <w:b/>
                <w:sz w:val="24"/>
                <w:szCs w:val="24"/>
                <w:lang w:eastAsia="lv-LV"/>
              </w:rPr>
              <w:t xml:space="preserve">pielikumā noteiktajiem svaigiem augļiem, ogām un dārzeņiem salīdzinājumā </w:t>
            </w:r>
            <w:r w:rsidR="00E347F7">
              <w:rPr>
                <w:rFonts w:ascii="Times New Roman" w:eastAsia="Times New Roman" w:hAnsi="Times New Roman"/>
                <w:b/>
                <w:sz w:val="24"/>
                <w:szCs w:val="24"/>
                <w:lang w:eastAsia="lv-LV"/>
              </w:rPr>
              <w:t>ar</w:t>
            </w:r>
            <w:r w:rsidR="00E1492C" w:rsidRPr="00FC1318">
              <w:rPr>
                <w:rFonts w:ascii="Times New Roman" w:eastAsia="Times New Roman" w:hAnsi="Times New Roman"/>
                <w:b/>
                <w:sz w:val="24"/>
                <w:szCs w:val="24"/>
                <w:lang w:eastAsia="lv-LV"/>
              </w:rPr>
              <w:t xml:space="preserve"> apgrozījumu kopējiem darījumiem (neieskaitot darījumus ar Pievienotās vērtības nodokļa likuma 1.</w:t>
            </w:r>
            <w:r w:rsidR="00E347F7">
              <w:rPr>
                <w:rFonts w:ascii="Times New Roman" w:eastAsia="Times New Roman" w:hAnsi="Times New Roman"/>
                <w:b/>
                <w:sz w:val="24"/>
                <w:szCs w:val="24"/>
                <w:lang w:eastAsia="lv-LV"/>
              </w:rPr>
              <w:t> </w:t>
            </w:r>
            <w:r w:rsidR="00E1492C" w:rsidRPr="00FC1318">
              <w:rPr>
                <w:rFonts w:ascii="Times New Roman" w:eastAsia="Times New Roman" w:hAnsi="Times New Roman"/>
                <w:b/>
                <w:sz w:val="24"/>
                <w:szCs w:val="24"/>
                <w:lang w:eastAsia="lv-LV"/>
              </w:rPr>
              <w:t xml:space="preserve">pielikumā noteiktajiem svaigiem augļiem, ogām un dārzeņiem) ir lielāks par </w:t>
            </w:r>
            <w:r w:rsidR="00E347F7">
              <w:rPr>
                <w:rFonts w:ascii="Times New Roman" w:eastAsia="Times New Roman" w:hAnsi="Times New Roman"/>
                <w:b/>
                <w:sz w:val="24"/>
                <w:szCs w:val="24"/>
                <w:lang w:eastAsia="lv-LV"/>
              </w:rPr>
              <w:t>sešiem</w:t>
            </w:r>
            <w:r w:rsidR="00E1492C" w:rsidRPr="00FC1318">
              <w:rPr>
                <w:rFonts w:ascii="Times New Roman" w:eastAsia="Times New Roman" w:hAnsi="Times New Roman"/>
                <w:b/>
                <w:sz w:val="24"/>
                <w:szCs w:val="24"/>
                <w:lang w:eastAsia="lv-LV"/>
              </w:rPr>
              <w:t xml:space="preserve"> procentpunktiem (ik gadu)”</w:t>
            </w:r>
          </w:p>
        </w:tc>
      </w:tr>
      <w:tr w:rsidR="00FC1318" w14:paraId="6872C2C3" w14:textId="77777777" w:rsidTr="00BF5327">
        <w:trPr>
          <w:jc w:val="center"/>
        </w:trPr>
        <w:tc>
          <w:tcPr>
            <w:tcW w:w="1609" w:type="dxa"/>
          </w:tcPr>
          <w:p w14:paraId="12B8F1D8" w14:textId="77777777" w:rsidR="00E1492C" w:rsidRDefault="00E1492C" w:rsidP="008E38FF">
            <w:pPr>
              <w:tabs>
                <w:tab w:val="left" w:pos="1134"/>
              </w:tabs>
              <w:jc w:val="both"/>
              <w:rPr>
                <w:rFonts w:ascii="Times New Roman" w:eastAsia="Times New Roman" w:hAnsi="Times New Roman" w:cs="Times New Roman"/>
                <w:bCs/>
                <w:sz w:val="24"/>
                <w:szCs w:val="24"/>
              </w:rPr>
            </w:pPr>
          </w:p>
        </w:tc>
        <w:tc>
          <w:tcPr>
            <w:tcW w:w="1863" w:type="dxa"/>
          </w:tcPr>
          <w:p w14:paraId="5C22B665" w14:textId="3A003C20" w:rsidR="00E1492C" w:rsidRDefault="00FC1318" w:rsidP="008E38FF">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2019./2018. gads</w:t>
            </w:r>
          </w:p>
        </w:tc>
        <w:tc>
          <w:tcPr>
            <w:tcW w:w="1863" w:type="dxa"/>
          </w:tcPr>
          <w:p w14:paraId="3ABC331C" w14:textId="333E2009" w:rsidR="00E1492C" w:rsidRDefault="00FC1318" w:rsidP="008E38FF">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2020./2019. gads</w:t>
            </w:r>
          </w:p>
        </w:tc>
        <w:tc>
          <w:tcPr>
            <w:tcW w:w="1863" w:type="dxa"/>
          </w:tcPr>
          <w:p w14:paraId="61017AA8" w14:textId="62B09055" w:rsidR="00E1492C" w:rsidRDefault="00FC1318" w:rsidP="008E38FF">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2020./2021. gads</w:t>
            </w:r>
          </w:p>
        </w:tc>
        <w:tc>
          <w:tcPr>
            <w:tcW w:w="1863" w:type="dxa"/>
          </w:tcPr>
          <w:p w14:paraId="10CB75CC" w14:textId="6551BD54" w:rsidR="00E1492C" w:rsidRDefault="00FC1318" w:rsidP="008E38FF">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2021./2022. gads</w:t>
            </w:r>
          </w:p>
        </w:tc>
      </w:tr>
      <w:tr w:rsidR="00FC1318" w14:paraId="31C2975B" w14:textId="77777777" w:rsidTr="00BF5327">
        <w:trPr>
          <w:trHeight w:val="888"/>
          <w:jc w:val="center"/>
        </w:trPr>
        <w:tc>
          <w:tcPr>
            <w:tcW w:w="1609" w:type="dxa"/>
          </w:tcPr>
          <w:p w14:paraId="2F253991" w14:textId="6F042CE2" w:rsidR="003D1465" w:rsidRDefault="00872790" w:rsidP="008E38FF">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Rezultatīvais rādītājs</w:t>
            </w:r>
            <w:r w:rsidR="00CD0DDF">
              <w:rPr>
                <w:rFonts w:ascii="Times New Roman" w:eastAsia="Times New Roman" w:hAnsi="Times New Roman" w:cs="Times New Roman"/>
                <w:bCs/>
                <w:sz w:val="24"/>
                <w:szCs w:val="24"/>
              </w:rPr>
              <w:t>, procentpunkti</w:t>
            </w:r>
          </w:p>
        </w:tc>
        <w:tc>
          <w:tcPr>
            <w:tcW w:w="1863" w:type="dxa"/>
          </w:tcPr>
          <w:p w14:paraId="421E3B47" w14:textId="7A947B2D" w:rsidR="003D1465" w:rsidRDefault="00872790" w:rsidP="008E38FF">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63" w:type="dxa"/>
          </w:tcPr>
          <w:p w14:paraId="1CD4F733" w14:textId="2D46543A" w:rsidR="003D1465" w:rsidRDefault="00872790" w:rsidP="008E38FF">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63" w:type="dxa"/>
          </w:tcPr>
          <w:p w14:paraId="311C224A" w14:textId="7E19F7AE" w:rsidR="003D1465" w:rsidRDefault="00872790" w:rsidP="008E38FF">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63" w:type="dxa"/>
          </w:tcPr>
          <w:p w14:paraId="1F5C44A8" w14:textId="453FBA68" w:rsidR="003D1465" w:rsidRDefault="00872790" w:rsidP="008E38FF">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FC1318" w14:paraId="251BAED0" w14:textId="77777777" w:rsidTr="00BF5327">
        <w:trPr>
          <w:jc w:val="center"/>
        </w:trPr>
        <w:tc>
          <w:tcPr>
            <w:tcW w:w="1609" w:type="dxa"/>
          </w:tcPr>
          <w:p w14:paraId="11354BFD" w14:textId="6D4EF9B8" w:rsidR="003D1465" w:rsidRDefault="00872790" w:rsidP="008E38FF">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Izpilde</w:t>
            </w:r>
            <w:r w:rsidR="00CD0DDF">
              <w:rPr>
                <w:rFonts w:ascii="Times New Roman" w:eastAsia="Times New Roman" w:hAnsi="Times New Roman" w:cs="Times New Roman"/>
                <w:bCs/>
                <w:sz w:val="24"/>
                <w:szCs w:val="24"/>
              </w:rPr>
              <w:t>, procentpunkti</w:t>
            </w:r>
          </w:p>
        </w:tc>
        <w:tc>
          <w:tcPr>
            <w:tcW w:w="1863" w:type="dxa"/>
          </w:tcPr>
          <w:p w14:paraId="44B0D8CA" w14:textId="26DF6CA2" w:rsidR="003D1465" w:rsidRPr="008E38FF" w:rsidRDefault="00F378D1" w:rsidP="008E38FF">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w:t>
            </w:r>
            <w:r w:rsidR="008E38FF" w:rsidRPr="008E38FF">
              <w:rPr>
                <w:rFonts w:ascii="Times New Roman" w:eastAsia="Times New Roman" w:hAnsi="Times New Roman" w:cs="Times New Roman"/>
                <w:b/>
                <w:color w:val="70AD47" w:themeColor="accent6"/>
                <w:sz w:val="24"/>
                <w:szCs w:val="24"/>
              </w:rPr>
              <w:t>13</w:t>
            </w:r>
          </w:p>
        </w:tc>
        <w:tc>
          <w:tcPr>
            <w:tcW w:w="1863" w:type="dxa"/>
          </w:tcPr>
          <w:p w14:paraId="4F7999D8" w14:textId="1B6087D9" w:rsidR="003D1465" w:rsidRPr="008E38FF" w:rsidRDefault="00F378D1" w:rsidP="008E38FF">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w:t>
            </w:r>
            <w:r w:rsidR="008E38FF" w:rsidRPr="008E38FF">
              <w:rPr>
                <w:rFonts w:ascii="Times New Roman" w:eastAsia="Times New Roman" w:hAnsi="Times New Roman" w:cs="Times New Roman"/>
                <w:b/>
                <w:color w:val="70AD47" w:themeColor="accent6"/>
                <w:sz w:val="24"/>
                <w:szCs w:val="24"/>
              </w:rPr>
              <w:t>8</w:t>
            </w:r>
          </w:p>
        </w:tc>
        <w:tc>
          <w:tcPr>
            <w:tcW w:w="1863" w:type="dxa"/>
          </w:tcPr>
          <w:p w14:paraId="070FD2DB" w14:textId="24F5B241" w:rsidR="003D1465" w:rsidRPr="008E38FF" w:rsidRDefault="00E347F7" w:rsidP="008E38FF">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CD0DDF" w:rsidRPr="008E38FF">
              <w:rPr>
                <w:rFonts w:ascii="Times New Roman" w:eastAsia="Times New Roman" w:hAnsi="Times New Roman" w:cs="Times New Roman"/>
                <w:b/>
                <w:color w:val="FF0000"/>
                <w:sz w:val="24"/>
                <w:szCs w:val="24"/>
              </w:rPr>
              <w:t>9</w:t>
            </w:r>
          </w:p>
        </w:tc>
        <w:tc>
          <w:tcPr>
            <w:tcW w:w="1863" w:type="dxa"/>
          </w:tcPr>
          <w:p w14:paraId="0518D7CE" w14:textId="2E0DFF2B" w:rsidR="003D1465" w:rsidRPr="008E38FF" w:rsidRDefault="00E347F7" w:rsidP="008E38FF">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CD0DDF" w:rsidRPr="008E38FF">
              <w:rPr>
                <w:rFonts w:ascii="Times New Roman" w:eastAsia="Times New Roman" w:hAnsi="Times New Roman" w:cs="Times New Roman"/>
                <w:b/>
                <w:color w:val="FF0000"/>
                <w:sz w:val="24"/>
                <w:szCs w:val="24"/>
              </w:rPr>
              <w:t>2</w:t>
            </w:r>
          </w:p>
        </w:tc>
      </w:tr>
      <w:tr w:rsidR="00CD0DDF" w:rsidRPr="003378FD" w14:paraId="6F12ACFD" w14:textId="77777777" w:rsidTr="00A2223D">
        <w:trPr>
          <w:jc w:val="center"/>
        </w:trPr>
        <w:tc>
          <w:tcPr>
            <w:tcW w:w="9061" w:type="dxa"/>
            <w:gridSpan w:val="5"/>
          </w:tcPr>
          <w:p w14:paraId="06E3DFF0" w14:textId="6DD6DE45" w:rsidR="00CD0DDF" w:rsidRPr="003378FD" w:rsidRDefault="00CD0DDF" w:rsidP="008E38FF">
            <w:pPr>
              <w:tabs>
                <w:tab w:val="left" w:pos="1134"/>
              </w:tabs>
              <w:jc w:val="center"/>
              <w:rPr>
                <w:rFonts w:ascii="Times New Roman" w:eastAsia="Times New Roman" w:hAnsi="Times New Roman" w:cs="Times New Roman"/>
                <w:b/>
                <w:i/>
                <w:iCs/>
                <w:sz w:val="24"/>
                <w:szCs w:val="24"/>
              </w:rPr>
            </w:pPr>
            <w:r w:rsidRPr="003378FD">
              <w:rPr>
                <w:rFonts w:ascii="Times New Roman" w:eastAsia="Times New Roman" w:hAnsi="Times New Roman" w:cs="Times New Roman"/>
                <w:b/>
                <w:i/>
                <w:iCs/>
                <w:sz w:val="24"/>
                <w:szCs w:val="24"/>
              </w:rPr>
              <w:t>Izpildīts daļēji</w:t>
            </w:r>
            <w:r w:rsidR="00E347F7">
              <w:rPr>
                <w:rFonts w:ascii="Times New Roman" w:eastAsia="Times New Roman" w:hAnsi="Times New Roman" w:cs="Times New Roman"/>
                <w:b/>
                <w:i/>
                <w:iCs/>
                <w:sz w:val="24"/>
                <w:szCs w:val="24"/>
              </w:rPr>
              <w:t>.</w:t>
            </w:r>
          </w:p>
        </w:tc>
      </w:tr>
      <w:bookmarkEnd w:id="0"/>
    </w:tbl>
    <w:p w14:paraId="76E11A04" w14:textId="77777777" w:rsidR="001255AB" w:rsidRDefault="001255AB" w:rsidP="00FB28CC">
      <w:pPr>
        <w:tabs>
          <w:tab w:val="left" w:pos="1134"/>
        </w:tabs>
        <w:spacing w:after="0" w:line="240" w:lineRule="auto"/>
        <w:ind w:firstLine="709"/>
        <w:jc w:val="both"/>
        <w:rPr>
          <w:rFonts w:ascii="Times New Roman" w:eastAsia="Times New Roman" w:hAnsi="Times New Roman" w:cs="Times New Roman"/>
          <w:bCs/>
          <w:sz w:val="24"/>
          <w:szCs w:val="24"/>
        </w:rPr>
      </w:pPr>
    </w:p>
    <w:p w14:paraId="2D7CD128" w14:textId="02F69728" w:rsidR="009A6EC4" w:rsidRDefault="001A1D64" w:rsidP="008A48EB">
      <w:pPr>
        <w:pStyle w:val="ListParagraph"/>
        <w:numPr>
          <w:ilvl w:val="1"/>
          <w:numId w:val="20"/>
        </w:numPr>
        <w:tabs>
          <w:tab w:val="left" w:pos="1134"/>
        </w:tabs>
        <w:spacing w:after="120" w:line="240" w:lineRule="auto"/>
        <w:ind w:left="1434" w:hanging="35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sidR="004526DA">
        <w:rPr>
          <w:rFonts w:ascii="Times New Roman" w:eastAsia="Times New Roman" w:hAnsi="Times New Roman" w:cs="Times New Roman"/>
          <w:b/>
          <w:sz w:val="24"/>
          <w:szCs w:val="24"/>
        </w:rPr>
        <w:t>Rezultatīvais rādītājs “</w:t>
      </w:r>
      <w:r w:rsidR="009D2E29">
        <w:rPr>
          <w:rFonts w:ascii="Times New Roman" w:eastAsia="Times New Roman" w:hAnsi="Times New Roman" w:cs="Times New Roman"/>
          <w:b/>
          <w:sz w:val="24"/>
          <w:szCs w:val="24"/>
        </w:rPr>
        <w:t xml:space="preserve">Augļu, ogu un dārzeņu </w:t>
      </w:r>
      <w:r w:rsidR="00D7439F" w:rsidRPr="00D7439F">
        <w:rPr>
          <w:rFonts w:ascii="Times New Roman" w:eastAsia="Times New Roman" w:hAnsi="Times New Roman" w:cs="Times New Roman"/>
          <w:b/>
          <w:sz w:val="24"/>
          <w:szCs w:val="24"/>
        </w:rPr>
        <w:t xml:space="preserve">ražotāju PVN maksātāju vidējais atalgojums uz vienu nodarbināto ir lielāks par </w:t>
      </w:r>
      <w:r w:rsidR="00E347F7">
        <w:rPr>
          <w:rFonts w:ascii="Times New Roman" w:eastAsia="Times New Roman" w:hAnsi="Times New Roman" w:cs="Times New Roman"/>
          <w:b/>
          <w:sz w:val="24"/>
          <w:szCs w:val="24"/>
        </w:rPr>
        <w:t>sešiem</w:t>
      </w:r>
      <w:r w:rsidR="00D7439F" w:rsidRPr="00D7439F">
        <w:rPr>
          <w:rFonts w:ascii="Times New Roman" w:eastAsia="Times New Roman" w:hAnsi="Times New Roman" w:cs="Times New Roman"/>
          <w:b/>
          <w:sz w:val="24"/>
          <w:szCs w:val="24"/>
        </w:rPr>
        <w:t xml:space="preserve"> procentiem (ik gadu)</w:t>
      </w:r>
      <w:r w:rsidR="00DC4817">
        <w:rPr>
          <w:rFonts w:ascii="Times New Roman" w:eastAsia="Times New Roman" w:hAnsi="Times New Roman" w:cs="Times New Roman"/>
          <w:b/>
          <w:sz w:val="24"/>
          <w:szCs w:val="24"/>
        </w:rPr>
        <w:t>”</w:t>
      </w:r>
    </w:p>
    <w:p w14:paraId="56DD169B" w14:textId="7246813D" w:rsidR="00DA37D0" w:rsidRDefault="00426F79" w:rsidP="00426F79">
      <w:pPr>
        <w:tabs>
          <w:tab w:val="left" w:pos="1134"/>
        </w:tabs>
        <w:spacing w:after="0" w:line="240" w:lineRule="auto"/>
        <w:ind w:firstLine="567"/>
        <w:jc w:val="both"/>
        <w:rPr>
          <w:rFonts w:ascii="Times New Roman" w:eastAsia="Times New Roman" w:hAnsi="Times New Roman" w:cs="Times New Roman"/>
          <w:bCs/>
          <w:sz w:val="24"/>
          <w:szCs w:val="24"/>
        </w:rPr>
      </w:pPr>
      <w:r w:rsidRPr="00426F79">
        <w:rPr>
          <w:rFonts w:ascii="Times New Roman" w:eastAsia="Times New Roman" w:hAnsi="Times New Roman" w:cs="Times New Roman"/>
          <w:bCs/>
          <w:sz w:val="24"/>
          <w:szCs w:val="24"/>
        </w:rPr>
        <w:t xml:space="preserve">Šis rezultatīvais rādītājs noteikts, lai sasniegtu izvirzīto mērķi – </w:t>
      </w:r>
      <w:r w:rsidR="00742E26">
        <w:rPr>
          <w:rFonts w:ascii="Times New Roman" w:eastAsia="Times New Roman" w:hAnsi="Times New Roman" w:cs="Times New Roman"/>
          <w:bCs/>
          <w:sz w:val="24"/>
          <w:szCs w:val="24"/>
        </w:rPr>
        <w:t>palielināt</w:t>
      </w:r>
      <w:r w:rsidR="00E347F7">
        <w:rPr>
          <w:rFonts w:ascii="Times New Roman" w:eastAsia="Times New Roman" w:hAnsi="Times New Roman" w:cs="Times New Roman"/>
          <w:bCs/>
          <w:sz w:val="24"/>
          <w:szCs w:val="24"/>
        </w:rPr>
        <w:t>u</w:t>
      </w:r>
      <w:r w:rsidR="00742E26">
        <w:rPr>
          <w:rFonts w:ascii="Times New Roman" w:eastAsia="Times New Roman" w:hAnsi="Times New Roman" w:cs="Times New Roman"/>
          <w:bCs/>
          <w:sz w:val="24"/>
          <w:szCs w:val="24"/>
        </w:rPr>
        <w:t xml:space="preserve"> </w:t>
      </w:r>
      <w:r w:rsidR="00E347F7">
        <w:rPr>
          <w:rFonts w:ascii="Times New Roman" w:eastAsia="Times New Roman" w:hAnsi="Times New Roman" w:cs="Times New Roman"/>
          <w:bCs/>
          <w:sz w:val="24"/>
          <w:szCs w:val="24"/>
        </w:rPr>
        <w:t xml:space="preserve">konkurētspēju komersantiem, kas darbojas </w:t>
      </w:r>
      <w:r w:rsidR="00742E26">
        <w:rPr>
          <w:rFonts w:ascii="Times New Roman" w:eastAsia="Times New Roman" w:hAnsi="Times New Roman" w:cs="Times New Roman"/>
          <w:bCs/>
          <w:sz w:val="24"/>
          <w:szCs w:val="24"/>
        </w:rPr>
        <w:t>legālajā tirgū</w:t>
      </w:r>
      <w:r w:rsidR="0050230E">
        <w:rPr>
          <w:rFonts w:ascii="Times New Roman" w:eastAsia="Times New Roman" w:hAnsi="Times New Roman" w:cs="Times New Roman"/>
          <w:bCs/>
          <w:sz w:val="24"/>
          <w:szCs w:val="24"/>
        </w:rPr>
        <w:t xml:space="preserve">, </w:t>
      </w:r>
      <w:r w:rsidRPr="00426F79">
        <w:rPr>
          <w:rFonts w:ascii="Times New Roman" w:eastAsia="Times New Roman" w:hAnsi="Times New Roman" w:cs="Times New Roman"/>
          <w:bCs/>
          <w:sz w:val="24"/>
          <w:szCs w:val="24"/>
        </w:rPr>
        <w:t xml:space="preserve">konkrētāk analizējot </w:t>
      </w:r>
      <w:r w:rsidR="00D43F25">
        <w:rPr>
          <w:rFonts w:ascii="Times New Roman" w:eastAsia="Times New Roman" w:hAnsi="Times New Roman" w:cs="Times New Roman"/>
          <w:bCs/>
          <w:sz w:val="24"/>
          <w:szCs w:val="24"/>
        </w:rPr>
        <w:t>augļu, ogu un dārzeņu ražotāju PVN maksātāju vidējo atalgojumu uz vienu nodarbināto</w:t>
      </w:r>
      <w:r w:rsidR="00DA37D0">
        <w:rPr>
          <w:rFonts w:ascii="Times New Roman" w:eastAsia="Times New Roman" w:hAnsi="Times New Roman" w:cs="Times New Roman"/>
          <w:bCs/>
          <w:sz w:val="24"/>
          <w:szCs w:val="24"/>
        </w:rPr>
        <w:t>.</w:t>
      </w:r>
      <w:r w:rsidR="0006210F">
        <w:rPr>
          <w:rFonts w:ascii="Times New Roman" w:eastAsia="Times New Roman" w:hAnsi="Times New Roman" w:cs="Times New Roman"/>
          <w:bCs/>
          <w:sz w:val="24"/>
          <w:szCs w:val="24"/>
        </w:rPr>
        <w:t xml:space="preserve"> R</w:t>
      </w:r>
      <w:r w:rsidRPr="00426F79">
        <w:rPr>
          <w:rFonts w:ascii="Times New Roman" w:eastAsia="Times New Roman" w:hAnsi="Times New Roman" w:cs="Times New Roman"/>
          <w:bCs/>
          <w:sz w:val="24"/>
          <w:szCs w:val="24"/>
        </w:rPr>
        <w:t>ezultatīv</w:t>
      </w:r>
      <w:r w:rsidR="00B631E6">
        <w:rPr>
          <w:rFonts w:ascii="Times New Roman" w:eastAsia="Times New Roman" w:hAnsi="Times New Roman" w:cs="Times New Roman"/>
          <w:bCs/>
          <w:sz w:val="24"/>
          <w:szCs w:val="24"/>
        </w:rPr>
        <w:t>ā</w:t>
      </w:r>
      <w:r w:rsidRPr="00426F79">
        <w:rPr>
          <w:rFonts w:ascii="Times New Roman" w:eastAsia="Times New Roman" w:hAnsi="Times New Roman" w:cs="Times New Roman"/>
          <w:bCs/>
          <w:sz w:val="24"/>
          <w:szCs w:val="24"/>
        </w:rPr>
        <w:t xml:space="preserve"> rādītāj</w:t>
      </w:r>
      <w:r w:rsidR="00B631E6">
        <w:rPr>
          <w:rFonts w:ascii="Times New Roman" w:eastAsia="Times New Roman" w:hAnsi="Times New Roman" w:cs="Times New Roman"/>
          <w:bCs/>
          <w:sz w:val="24"/>
          <w:szCs w:val="24"/>
        </w:rPr>
        <w:t>a vērtība</w:t>
      </w:r>
      <w:r w:rsidR="0006210F">
        <w:rPr>
          <w:rFonts w:ascii="Times New Roman" w:eastAsia="Times New Roman" w:hAnsi="Times New Roman" w:cs="Times New Roman"/>
          <w:bCs/>
          <w:sz w:val="24"/>
          <w:szCs w:val="24"/>
        </w:rPr>
        <w:t>:</w:t>
      </w:r>
      <w:r w:rsidRPr="00426F79">
        <w:rPr>
          <w:rFonts w:ascii="Times New Roman" w:eastAsia="Times New Roman" w:hAnsi="Times New Roman" w:cs="Times New Roman"/>
          <w:bCs/>
          <w:sz w:val="24"/>
          <w:szCs w:val="24"/>
        </w:rPr>
        <w:t xml:space="preserve"> </w:t>
      </w:r>
      <w:r w:rsidR="00DA37D0">
        <w:rPr>
          <w:rFonts w:ascii="Times New Roman" w:eastAsia="Times New Roman" w:hAnsi="Times New Roman" w:cs="Times New Roman"/>
          <w:bCs/>
          <w:sz w:val="24"/>
          <w:szCs w:val="24"/>
        </w:rPr>
        <w:t>augļu, ogu un dārzeņu ražotāju PVN maksātāju vidēj</w:t>
      </w:r>
      <w:r w:rsidR="002C20CE">
        <w:rPr>
          <w:rFonts w:ascii="Times New Roman" w:eastAsia="Times New Roman" w:hAnsi="Times New Roman" w:cs="Times New Roman"/>
          <w:bCs/>
          <w:sz w:val="24"/>
          <w:szCs w:val="24"/>
        </w:rPr>
        <w:t>ā</w:t>
      </w:r>
      <w:r w:rsidR="00DA37D0">
        <w:rPr>
          <w:rFonts w:ascii="Times New Roman" w:eastAsia="Times New Roman" w:hAnsi="Times New Roman" w:cs="Times New Roman"/>
          <w:bCs/>
          <w:sz w:val="24"/>
          <w:szCs w:val="24"/>
        </w:rPr>
        <w:t xml:space="preserve"> atalgojum</w:t>
      </w:r>
      <w:r w:rsidR="002C20CE">
        <w:rPr>
          <w:rFonts w:ascii="Times New Roman" w:eastAsia="Times New Roman" w:hAnsi="Times New Roman" w:cs="Times New Roman"/>
          <w:bCs/>
          <w:sz w:val="24"/>
          <w:szCs w:val="24"/>
        </w:rPr>
        <w:t>a</w:t>
      </w:r>
      <w:r w:rsidR="00DA37D0">
        <w:rPr>
          <w:rFonts w:ascii="Times New Roman" w:eastAsia="Times New Roman" w:hAnsi="Times New Roman" w:cs="Times New Roman"/>
          <w:bCs/>
          <w:sz w:val="24"/>
          <w:szCs w:val="24"/>
        </w:rPr>
        <w:t xml:space="preserve"> uz vienu nodarbināto</w:t>
      </w:r>
      <w:r w:rsidR="00DA37D0" w:rsidRPr="00426F79">
        <w:rPr>
          <w:rFonts w:ascii="Times New Roman" w:eastAsia="Times New Roman" w:hAnsi="Times New Roman" w:cs="Times New Roman"/>
          <w:bCs/>
          <w:sz w:val="24"/>
          <w:szCs w:val="24"/>
        </w:rPr>
        <w:t xml:space="preserve"> </w:t>
      </w:r>
      <w:r w:rsidR="002C20CE">
        <w:rPr>
          <w:rFonts w:ascii="Times New Roman" w:eastAsia="Times New Roman" w:hAnsi="Times New Roman" w:cs="Times New Roman"/>
          <w:bCs/>
          <w:sz w:val="24"/>
          <w:szCs w:val="24"/>
        </w:rPr>
        <w:t xml:space="preserve">gada pārmaiņas ir lielākas par </w:t>
      </w:r>
      <w:r w:rsidR="0006210F">
        <w:rPr>
          <w:rFonts w:ascii="Times New Roman" w:eastAsia="Times New Roman" w:hAnsi="Times New Roman" w:cs="Times New Roman"/>
          <w:bCs/>
          <w:sz w:val="24"/>
          <w:szCs w:val="24"/>
        </w:rPr>
        <w:t>sešiem</w:t>
      </w:r>
      <w:r w:rsidR="002C20CE">
        <w:rPr>
          <w:rFonts w:ascii="Times New Roman" w:eastAsia="Times New Roman" w:hAnsi="Times New Roman" w:cs="Times New Roman"/>
          <w:bCs/>
          <w:sz w:val="24"/>
          <w:szCs w:val="24"/>
        </w:rPr>
        <w:t xml:space="preserve"> procentiem ik gadu.</w:t>
      </w:r>
    </w:p>
    <w:p w14:paraId="4314CBB8" w14:textId="1FCE529D" w:rsidR="00B631E6" w:rsidRPr="00B631E6" w:rsidRDefault="00B631E6" w:rsidP="00B631E6">
      <w:pPr>
        <w:spacing w:after="120" w:line="240" w:lineRule="auto"/>
        <w:ind w:firstLine="709"/>
        <w:jc w:val="both"/>
        <w:rPr>
          <w:rFonts w:ascii="Times New Roman" w:eastAsia="Times New Roman" w:hAnsi="Times New Roman" w:cs="Times New Roman"/>
          <w:sz w:val="24"/>
          <w:szCs w:val="24"/>
        </w:rPr>
      </w:pPr>
      <w:r w:rsidRPr="00B631E6">
        <w:rPr>
          <w:rFonts w:ascii="Times New Roman" w:eastAsia="Times New Roman" w:hAnsi="Times New Roman" w:cs="Times New Roman"/>
          <w:sz w:val="24"/>
          <w:szCs w:val="24"/>
        </w:rPr>
        <w:t xml:space="preserve">Augļu, ogu </w:t>
      </w:r>
      <w:r w:rsidRPr="003A2F29">
        <w:rPr>
          <w:rFonts w:ascii="Times New Roman" w:eastAsia="Times New Roman" w:hAnsi="Times New Roman" w:cs="Times New Roman"/>
          <w:sz w:val="24"/>
          <w:szCs w:val="24"/>
        </w:rPr>
        <w:t>un dārzeņu ražošanas nozarē ir novērojama pozitīva tendence vidējā atalgojuma pieaugumā (</w:t>
      </w:r>
      <w:r w:rsidR="003A2F29" w:rsidRPr="003A2F29">
        <w:rPr>
          <w:rFonts w:ascii="Times New Roman" w:eastAsia="Times New Roman" w:hAnsi="Times New Roman" w:cs="Times New Roman"/>
          <w:sz w:val="24"/>
          <w:szCs w:val="24"/>
        </w:rPr>
        <w:t>3</w:t>
      </w:r>
      <w:r w:rsidRPr="003A2F29">
        <w:rPr>
          <w:rFonts w:ascii="Times New Roman" w:eastAsia="Times New Roman" w:hAnsi="Times New Roman" w:cs="Times New Roman"/>
          <w:sz w:val="24"/>
          <w:szCs w:val="24"/>
        </w:rPr>
        <w:t>.</w:t>
      </w:r>
      <w:r w:rsidR="0006210F">
        <w:rPr>
          <w:rFonts w:ascii="Times New Roman" w:eastAsia="Times New Roman" w:hAnsi="Times New Roman" w:cs="Times New Roman"/>
          <w:sz w:val="24"/>
          <w:szCs w:val="24"/>
        </w:rPr>
        <w:t> </w:t>
      </w:r>
      <w:r w:rsidRPr="003A2F29">
        <w:rPr>
          <w:rFonts w:ascii="Times New Roman" w:eastAsia="Times New Roman" w:hAnsi="Times New Roman" w:cs="Times New Roman"/>
          <w:sz w:val="24"/>
          <w:szCs w:val="24"/>
        </w:rPr>
        <w:t>attēls).</w:t>
      </w:r>
      <w:r w:rsidR="00D543E9" w:rsidRPr="00D543E9">
        <w:rPr>
          <w:rFonts w:ascii="Times New Roman" w:eastAsia="Times New Roman" w:hAnsi="Times New Roman" w:cs="Times New Roman"/>
          <w:bCs/>
          <w:sz w:val="24"/>
          <w:szCs w:val="24"/>
        </w:rPr>
        <w:t xml:space="preserve"> </w:t>
      </w:r>
      <w:r w:rsidR="00D543E9">
        <w:rPr>
          <w:rFonts w:ascii="Times New Roman" w:eastAsia="Times New Roman" w:hAnsi="Times New Roman" w:cs="Times New Roman"/>
          <w:bCs/>
          <w:sz w:val="24"/>
          <w:szCs w:val="24"/>
        </w:rPr>
        <w:t>Kopš 2017. gada vidējam atalgojumam uz vienu nodarbināto augļu, ogu un dārzeņu ražošanas nozarē ir tendence palielināties. Laikā no 2017. gada līdz 2022. gadam vidējais atalgojums uz vienu nodarbināto augļkopības nozarē ir palielinājies no 606 līdz 943 </w:t>
      </w:r>
      <w:proofErr w:type="spellStart"/>
      <w:r w:rsidR="00D543E9" w:rsidRPr="00043E20">
        <w:rPr>
          <w:rFonts w:ascii="Times New Roman" w:eastAsia="Times New Roman" w:hAnsi="Times New Roman" w:cs="Times New Roman"/>
          <w:bCs/>
          <w:i/>
          <w:iCs/>
          <w:sz w:val="24"/>
          <w:szCs w:val="24"/>
        </w:rPr>
        <w:t>euro</w:t>
      </w:r>
      <w:proofErr w:type="spellEnd"/>
      <w:r w:rsidR="00D543E9">
        <w:rPr>
          <w:rFonts w:ascii="Times New Roman" w:eastAsia="Times New Roman" w:hAnsi="Times New Roman" w:cs="Times New Roman"/>
          <w:bCs/>
          <w:sz w:val="24"/>
          <w:szCs w:val="24"/>
        </w:rPr>
        <w:t xml:space="preserve">, kopumā par 337 </w:t>
      </w:r>
      <w:proofErr w:type="spellStart"/>
      <w:r w:rsidR="00D543E9" w:rsidRPr="00043E20">
        <w:rPr>
          <w:rFonts w:ascii="Times New Roman" w:eastAsia="Times New Roman" w:hAnsi="Times New Roman" w:cs="Times New Roman"/>
          <w:bCs/>
          <w:i/>
          <w:iCs/>
          <w:sz w:val="24"/>
          <w:szCs w:val="24"/>
        </w:rPr>
        <w:t>euro</w:t>
      </w:r>
      <w:proofErr w:type="spellEnd"/>
      <w:r w:rsidR="00D543E9">
        <w:rPr>
          <w:rFonts w:ascii="Times New Roman" w:eastAsia="Times New Roman" w:hAnsi="Times New Roman" w:cs="Times New Roman"/>
          <w:bCs/>
          <w:sz w:val="24"/>
          <w:szCs w:val="24"/>
        </w:rPr>
        <w:t xml:space="preserve"> jeb 56,1 %. Salīdzinoši kopumā valstī vidējais atalgojums uz vienu nodarbināto laikā no 2017. gada līdz 2022. gadam ir palielinājis no 794 līdz 1195 </w:t>
      </w:r>
      <w:proofErr w:type="spellStart"/>
      <w:r w:rsidR="00D543E9" w:rsidRPr="00D96FD6">
        <w:rPr>
          <w:rFonts w:ascii="Times New Roman" w:eastAsia="Times New Roman" w:hAnsi="Times New Roman" w:cs="Times New Roman"/>
          <w:bCs/>
          <w:i/>
          <w:iCs/>
          <w:sz w:val="24"/>
          <w:szCs w:val="24"/>
        </w:rPr>
        <w:t>euro</w:t>
      </w:r>
      <w:proofErr w:type="spellEnd"/>
      <w:r w:rsidR="00D543E9">
        <w:rPr>
          <w:rFonts w:ascii="Times New Roman" w:eastAsia="Times New Roman" w:hAnsi="Times New Roman" w:cs="Times New Roman"/>
          <w:bCs/>
          <w:sz w:val="24"/>
          <w:szCs w:val="24"/>
        </w:rPr>
        <w:t xml:space="preserve">, kopumā par 401 </w:t>
      </w:r>
      <w:proofErr w:type="spellStart"/>
      <w:r w:rsidR="00D543E9" w:rsidRPr="00D96FD6">
        <w:rPr>
          <w:rFonts w:ascii="Times New Roman" w:eastAsia="Times New Roman" w:hAnsi="Times New Roman" w:cs="Times New Roman"/>
          <w:bCs/>
          <w:i/>
          <w:iCs/>
          <w:sz w:val="24"/>
          <w:szCs w:val="24"/>
        </w:rPr>
        <w:t>euro</w:t>
      </w:r>
      <w:proofErr w:type="spellEnd"/>
      <w:r w:rsidR="00D543E9">
        <w:rPr>
          <w:rFonts w:ascii="Times New Roman" w:eastAsia="Times New Roman" w:hAnsi="Times New Roman" w:cs="Times New Roman"/>
          <w:bCs/>
          <w:sz w:val="24"/>
          <w:szCs w:val="24"/>
        </w:rPr>
        <w:t xml:space="preserve"> jeb 56,4 %.</w:t>
      </w:r>
    </w:p>
    <w:p w14:paraId="2B8C44AA" w14:textId="20CC232D" w:rsidR="00D94136" w:rsidRDefault="007F01B4" w:rsidP="00597187">
      <w:pPr>
        <w:spacing w:after="120" w:line="240" w:lineRule="auto"/>
        <w:rPr>
          <w:rFonts w:ascii="Times New Roman" w:hAnsi="Times New Roman" w:cs="Times New Roman"/>
          <w:sz w:val="24"/>
          <w:szCs w:val="24"/>
          <w:highlight w:val="yellow"/>
        </w:rPr>
      </w:pPr>
      <w:r>
        <w:rPr>
          <w:noProof/>
          <w:lang w:eastAsia="lv-LV"/>
        </w:rPr>
        <w:lastRenderedPageBreak/>
        <w:drawing>
          <wp:inline distT="0" distB="0" distL="0" distR="0" wp14:anchorId="526E399B" wp14:editId="4BF8F849">
            <wp:extent cx="5787390" cy="3570051"/>
            <wp:effectExtent l="0" t="0" r="3810" b="11430"/>
            <wp:docPr id="22" name="Chart 22">
              <a:extLst xmlns:a="http://schemas.openxmlformats.org/drawingml/2006/main">
                <a:ext uri="{FF2B5EF4-FFF2-40B4-BE49-F238E27FC236}">
                  <a16:creationId xmlns:a16="http://schemas.microsoft.com/office/drawing/2014/main" id="{FAB369EB-7E13-24FE-BF8F-42F9F4BB4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E1B5B9" w14:textId="5AA0E60F" w:rsidR="00A27C55" w:rsidRDefault="00353150" w:rsidP="00A80727">
      <w:pPr>
        <w:spacing w:after="0" w:line="240" w:lineRule="auto"/>
        <w:ind w:firstLine="851"/>
        <w:rPr>
          <w:rFonts w:ascii="Times New Roman" w:hAnsi="Times New Roman" w:cs="Times New Roman"/>
          <w:sz w:val="24"/>
          <w:szCs w:val="24"/>
        </w:rPr>
      </w:pPr>
      <w:r w:rsidRPr="00353150">
        <w:rPr>
          <w:rFonts w:ascii="Times New Roman" w:hAnsi="Times New Roman" w:cs="Times New Roman"/>
          <w:sz w:val="24"/>
          <w:szCs w:val="24"/>
        </w:rPr>
        <w:t>3</w:t>
      </w:r>
      <w:r w:rsidR="00020003" w:rsidRPr="00353150">
        <w:rPr>
          <w:rFonts w:ascii="Times New Roman" w:hAnsi="Times New Roman" w:cs="Times New Roman"/>
          <w:sz w:val="24"/>
          <w:szCs w:val="24"/>
        </w:rPr>
        <w:t>.</w:t>
      </w:r>
      <w:r w:rsidR="0006210F">
        <w:rPr>
          <w:rFonts w:ascii="Times New Roman" w:hAnsi="Times New Roman" w:cs="Times New Roman"/>
          <w:sz w:val="24"/>
          <w:szCs w:val="24"/>
        </w:rPr>
        <w:t> </w:t>
      </w:r>
      <w:r w:rsidR="00020003" w:rsidRPr="00353150">
        <w:rPr>
          <w:rFonts w:ascii="Times New Roman" w:hAnsi="Times New Roman" w:cs="Times New Roman"/>
          <w:sz w:val="24"/>
          <w:szCs w:val="24"/>
        </w:rPr>
        <w:t xml:space="preserve">attēls. </w:t>
      </w:r>
      <w:r w:rsidR="0015264B" w:rsidRPr="00B631E6">
        <w:rPr>
          <w:rFonts w:ascii="Times New Roman" w:hAnsi="Times New Roman" w:cs="Times New Roman"/>
          <w:sz w:val="24"/>
          <w:szCs w:val="24"/>
        </w:rPr>
        <w:t>Vidēj</w:t>
      </w:r>
      <w:r w:rsidR="00E15B80">
        <w:rPr>
          <w:rFonts w:ascii="Times New Roman" w:hAnsi="Times New Roman" w:cs="Times New Roman"/>
          <w:sz w:val="24"/>
          <w:szCs w:val="24"/>
        </w:rPr>
        <w:t>ā</w:t>
      </w:r>
      <w:r w:rsidR="0015264B" w:rsidRPr="00B631E6">
        <w:rPr>
          <w:rFonts w:ascii="Times New Roman" w:hAnsi="Times New Roman" w:cs="Times New Roman"/>
          <w:sz w:val="24"/>
          <w:szCs w:val="24"/>
        </w:rPr>
        <w:t xml:space="preserve"> atalgojum</w:t>
      </w:r>
      <w:r w:rsidR="00E15B80">
        <w:rPr>
          <w:rFonts w:ascii="Times New Roman" w:hAnsi="Times New Roman" w:cs="Times New Roman"/>
          <w:sz w:val="24"/>
          <w:szCs w:val="24"/>
        </w:rPr>
        <w:t xml:space="preserve">a pieaugums </w:t>
      </w:r>
      <w:r w:rsidR="00441EDE">
        <w:rPr>
          <w:rFonts w:ascii="Times New Roman" w:hAnsi="Times New Roman" w:cs="Times New Roman"/>
          <w:sz w:val="24"/>
          <w:szCs w:val="24"/>
        </w:rPr>
        <w:t>vidēji valstī, lauksaimniecībā un augļkopības un dārzeņkopības nozarē</w:t>
      </w:r>
      <w:r w:rsidR="0015264B" w:rsidRPr="00B631E6">
        <w:rPr>
          <w:rFonts w:ascii="Times New Roman" w:hAnsi="Times New Roman" w:cs="Times New Roman"/>
          <w:sz w:val="24"/>
          <w:szCs w:val="24"/>
        </w:rPr>
        <w:t xml:space="preserve"> no 2017. līdz 20</w:t>
      </w:r>
      <w:r w:rsidR="00A80727">
        <w:rPr>
          <w:rFonts w:ascii="Times New Roman" w:hAnsi="Times New Roman" w:cs="Times New Roman"/>
          <w:sz w:val="24"/>
          <w:szCs w:val="24"/>
        </w:rPr>
        <w:t>22</w:t>
      </w:r>
      <w:r w:rsidR="0015264B" w:rsidRPr="00B631E6">
        <w:rPr>
          <w:rFonts w:ascii="Times New Roman" w:hAnsi="Times New Roman" w:cs="Times New Roman"/>
          <w:sz w:val="24"/>
          <w:szCs w:val="24"/>
        </w:rPr>
        <w:t>.</w:t>
      </w:r>
      <w:r w:rsidR="0006210F">
        <w:rPr>
          <w:rFonts w:ascii="Times New Roman" w:hAnsi="Times New Roman" w:cs="Times New Roman"/>
          <w:sz w:val="24"/>
          <w:szCs w:val="24"/>
        </w:rPr>
        <w:t xml:space="preserve"> </w:t>
      </w:r>
      <w:r w:rsidR="0015264B" w:rsidRPr="00B631E6">
        <w:rPr>
          <w:rFonts w:ascii="Times New Roman" w:hAnsi="Times New Roman" w:cs="Times New Roman"/>
          <w:sz w:val="24"/>
          <w:szCs w:val="24"/>
        </w:rPr>
        <w:t xml:space="preserve">gadam, </w:t>
      </w:r>
      <w:proofErr w:type="spellStart"/>
      <w:r w:rsidR="0015264B" w:rsidRPr="00B631E6">
        <w:rPr>
          <w:rFonts w:ascii="Times New Roman" w:hAnsi="Times New Roman" w:cs="Times New Roman"/>
          <w:i/>
          <w:sz w:val="24"/>
          <w:szCs w:val="24"/>
        </w:rPr>
        <w:t>euro</w:t>
      </w:r>
      <w:proofErr w:type="spellEnd"/>
      <w:r w:rsidR="00A80727">
        <w:rPr>
          <w:rFonts w:ascii="Times New Roman" w:hAnsi="Times New Roman" w:cs="Times New Roman"/>
          <w:sz w:val="24"/>
          <w:szCs w:val="24"/>
        </w:rPr>
        <w:t xml:space="preserve"> un procentos</w:t>
      </w:r>
    </w:p>
    <w:p w14:paraId="2E606EB0" w14:textId="77777777" w:rsidR="00020003" w:rsidRPr="00734F1A" w:rsidRDefault="00020003" w:rsidP="00020003">
      <w:pPr>
        <w:tabs>
          <w:tab w:val="left" w:pos="1134"/>
        </w:tabs>
        <w:spacing w:after="120" w:line="240" w:lineRule="auto"/>
        <w:ind w:firstLine="709"/>
        <w:jc w:val="both"/>
        <w:rPr>
          <w:rFonts w:ascii="Times New Roman" w:eastAsia="Times New Roman" w:hAnsi="Times New Roman" w:cs="Times New Roman"/>
          <w:sz w:val="20"/>
          <w:szCs w:val="20"/>
        </w:rPr>
      </w:pPr>
      <w:r w:rsidRPr="00734F1A">
        <w:rPr>
          <w:rFonts w:ascii="Times New Roman" w:eastAsia="Times New Roman" w:hAnsi="Times New Roman" w:cs="Times New Roman"/>
          <w:i/>
          <w:sz w:val="20"/>
          <w:szCs w:val="20"/>
        </w:rPr>
        <w:t xml:space="preserve">Datu avots: </w:t>
      </w:r>
      <w:r w:rsidRPr="00734F1A">
        <w:rPr>
          <w:rFonts w:ascii="Times New Roman" w:eastAsia="Times New Roman" w:hAnsi="Times New Roman" w:cs="Times New Roman"/>
          <w:sz w:val="20"/>
          <w:szCs w:val="20"/>
        </w:rPr>
        <w:t xml:space="preserve">Zemkopības ministrija pēc </w:t>
      </w:r>
      <w:r>
        <w:rPr>
          <w:rFonts w:ascii="Times New Roman" w:eastAsia="Times New Roman" w:hAnsi="Times New Roman" w:cs="Times New Roman"/>
          <w:sz w:val="20"/>
          <w:szCs w:val="20"/>
        </w:rPr>
        <w:t>VID</w:t>
      </w:r>
      <w:r w:rsidRPr="00734F1A">
        <w:rPr>
          <w:rFonts w:ascii="Times New Roman" w:eastAsia="Times New Roman" w:hAnsi="Times New Roman" w:cs="Times New Roman"/>
          <w:sz w:val="20"/>
          <w:szCs w:val="20"/>
        </w:rPr>
        <w:t xml:space="preserve"> datiem</w:t>
      </w:r>
    </w:p>
    <w:p w14:paraId="5166E90F" w14:textId="416FDBCF" w:rsidR="00B27EE0" w:rsidRDefault="00353A4D" w:rsidP="005052B2">
      <w:pPr>
        <w:tabs>
          <w:tab w:val="left" w:pos="1134"/>
        </w:tabs>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Savukārt lauksaimniecības nozarē vidējais atalgojums uz vienu nodarbināto laikā no 2017. līdz 2022.</w:t>
      </w:r>
      <w:r w:rsidR="00EA16A3">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gadam ir palielinājies no 559 līdz 879</w:t>
      </w:r>
      <w:r w:rsidRPr="00EA16A3">
        <w:rPr>
          <w:rFonts w:ascii="Times New Roman" w:eastAsia="Times New Roman" w:hAnsi="Times New Roman" w:cs="Times New Roman"/>
          <w:bCs/>
          <w:i/>
          <w:iCs/>
          <w:sz w:val="24"/>
          <w:szCs w:val="24"/>
        </w:rPr>
        <w:t xml:space="preserve"> </w:t>
      </w:r>
      <w:proofErr w:type="spellStart"/>
      <w:r w:rsidRPr="00EA16A3">
        <w:rPr>
          <w:rFonts w:ascii="Times New Roman" w:eastAsia="Times New Roman" w:hAnsi="Times New Roman" w:cs="Times New Roman"/>
          <w:bCs/>
          <w:i/>
          <w:iCs/>
          <w:sz w:val="24"/>
          <w:szCs w:val="24"/>
        </w:rPr>
        <w:t>euro</w:t>
      </w:r>
      <w:proofErr w:type="spellEnd"/>
      <w:r w:rsidR="004C5E28">
        <w:rPr>
          <w:rFonts w:ascii="Times New Roman" w:eastAsia="Times New Roman" w:hAnsi="Times New Roman" w:cs="Times New Roman"/>
          <w:bCs/>
          <w:sz w:val="24"/>
          <w:szCs w:val="24"/>
        </w:rPr>
        <w:t xml:space="preserve">, kopumā par 320 </w:t>
      </w:r>
      <w:proofErr w:type="spellStart"/>
      <w:r w:rsidR="004C5E28" w:rsidRPr="00EA16A3">
        <w:rPr>
          <w:rFonts w:ascii="Times New Roman" w:eastAsia="Times New Roman" w:hAnsi="Times New Roman" w:cs="Times New Roman"/>
          <w:bCs/>
          <w:i/>
          <w:iCs/>
          <w:sz w:val="24"/>
          <w:szCs w:val="24"/>
        </w:rPr>
        <w:t>euro</w:t>
      </w:r>
      <w:proofErr w:type="spellEnd"/>
      <w:r w:rsidR="004C5E28">
        <w:rPr>
          <w:rFonts w:ascii="Times New Roman" w:eastAsia="Times New Roman" w:hAnsi="Times New Roman" w:cs="Times New Roman"/>
          <w:bCs/>
          <w:sz w:val="24"/>
          <w:szCs w:val="24"/>
        </w:rPr>
        <w:t xml:space="preserve"> jeb </w:t>
      </w:r>
      <w:r w:rsidR="001D0CDE">
        <w:rPr>
          <w:rFonts w:ascii="Times New Roman" w:eastAsia="Times New Roman" w:hAnsi="Times New Roman" w:cs="Times New Roman"/>
          <w:bCs/>
          <w:sz w:val="24"/>
          <w:szCs w:val="24"/>
        </w:rPr>
        <w:t>57,2</w:t>
      </w:r>
      <w:r w:rsidR="00EA16A3">
        <w:rPr>
          <w:rFonts w:ascii="Times New Roman" w:eastAsia="Times New Roman" w:hAnsi="Times New Roman" w:cs="Times New Roman"/>
          <w:bCs/>
          <w:sz w:val="24"/>
          <w:szCs w:val="24"/>
        </w:rPr>
        <w:t> </w:t>
      </w:r>
      <w:r w:rsidR="001D0CDE">
        <w:rPr>
          <w:rFonts w:ascii="Times New Roman" w:eastAsia="Times New Roman" w:hAnsi="Times New Roman" w:cs="Times New Roman"/>
          <w:bCs/>
          <w:sz w:val="24"/>
          <w:szCs w:val="24"/>
        </w:rPr>
        <w:t>%</w:t>
      </w:r>
      <w:r w:rsidR="0098648B">
        <w:rPr>
          <w:rFonts w:ascii="Times New Roman" w:eastAsia="Times New Roman" w:hAnsi="Times New Roman" w:cs="Times New Roman"/>
          <w:bCs/>
          <w:sz w:val="24"/>
          <w:szCs w:val="24"/>
        </w:rPr>
        <w:t>.</w:t>
      </w:r>
    </w:p>
    <w:p w14:paraId="117C9934" w14:textId="7FDEF536" w:rsidR="00020003" w:rsidRPr="006326E1" w:rsidRDefault="00C047CF" w:rsidP="005052B2">
      <w:pPr>
        <w:tabs>
          <w:tab w:val="left" w:pos="1134"/>
        </w:tabs>
        <w:spacing w:after="0" w:line="240" w:lineRule="auto"/>
        <w:ind w:firstLine="709"/>
        <w:jc w:val="both"/>
        <w:rPr>
          <w:rFonts w:ascii="Times New Roman" w:eastAsia="Times New Roman" w:hAnsi="Times New Roman" w:cs="Times New Roman"/>
          <w:bCs/>
          <w:sz w:val="24"/>
          <w:szCs w:val="24"/>
        </w:rPr>
      </w:pPr>
      <w:r w:rsidRPr="006326E1">
        <w:rPr>
          <w:rFonts w:ascii="Times New Roman" w:eastAsia="Times New Roman" w:hAnsi="Times New Roman" w:cs="Times New Roman"/>
          <w:bCs/>
          <w:sz w:val="24"/>
          <w:szCs w:val="24"/>
        </w:rPr>
        <w:t>T</w:t>
      </w:r>
      <w:r w:rsidR="00D96FD6" w:rsidRPr="006326E1">
        <w:rPr>
          <w:rFonts w:ascii="Times New Roman" w:eastAsia="Times New Roman" w:hAnsi="Times New Roman" w:cs="Times New Roman"/>
          <w:bCs/>
          <w:sz w:val="24"/>
          <w:szCs w:val="24"/>
        </w:rPr>
        <w:t>as nozīmē, ka</w:t>
      </w:r>
      <w:r w:rsidR="006326E1" w:rsidRPr="006326E1">
        <w:rPr>
          <w:rFonts w:ascii="Times New Roman" w:eastAsia="Times New Roman" w:hAnsi="Times New Roman" w:cs="Times New Roman"/>
          <w:bCs/>
          <w:sz w:val="24"/>
          <w:szCs w:val="24"/>
        </w:rPr>
        <w:t xml:space="preserve"> gan</w:t>
      </w:r>
      <w:r w:rsidR="00D96FD6" w:rsidRPr="006326E1">
        <w:rPr>
          <w:rFonts w:ascii="Times New Roman" w:eastAsia="Times New Roman" w:hAnsi="Times New Roman" w:cs="Times New Roman"/>
          <w:bCs/>
          <w:sz w:val="24"/>
          <w:szCs w:val="24"/>
        </w:rPr>
        <w:t xml:space="preserve"> </w:t>
      </w:r>
      <w:r w:rsidRPr="006326E1">
        <w:rPr>
          <w:rFonts w:ascii="Times New Roman" w:eastAsia="Times New Roman" w:hAnsi="Times New Roman" w:cs="Times New Roman"/>
          <w:bCs/>
          <w:sz w:val="24"/>
          <w:szCs w:val="24"/>
        </w:rPr>
        <w:t>augļu, ogu un dārzeņu ražošanas nozarē</w:t>
      </w:r>
      <w:r w:rsidR="006326E1" w:rsidRPr="006326E1">
        <w:rPr>
          <w:rFonts w:ascii="Times New Roman" w:eastAsia="Times New Roman" w:hAnsi="Times New Roman" w:cs="Times New Roman"/>
          <w:bCs/>
          <w:sz w:val="24"/>
          <w:szCs w:val="24"/>
        </w:rPr>
        <w:t xml:space="preserve">, gan vidēji valstī, gan arī lauksaimniecības nozarē </w:t>
      </w:r>
      <w:r w:rsidR="001E6C02" w:rsidRPr="006326E1">
        <w:rPr>
          <w:rFonts w:ascii="Times New Roman" w:eastAsia="Times New Roman" w:hAnsi="Times New Roman" w:cs="Times New Roman"/>
          <w:bCs/>
          <w:sz w:val="24"/>
          <w:szCs w:val="24"/>
        </w:rPr>
        <w:t xml:space="preserve">pieauguma temps </w:t>
      </w:r>
      <w:r w:rsidR="00D96FD6" w:rsidRPr="006326E1">
        <w:rPr>
          <w:rFonts w:ascii="Times New Roman" w:eastAsia="Times New Roman" w:hAnsi="Times New Roman" w:cs="Times New Roman"/>
          <w:bCs/>
          <w:sz w:val="24"/>
          <w:szCs w:val="24"/>
        </w:rPr>
        <w:t>vidēj</w:t>
      </w:r>
      <w:r w:rsidR="001E6C02">
        <w:rPr>
          <w:rFonts w:ascii="Times New Roman" w:eastAsia="Times New Roman" w:hAnsi="Times New Roman" w:cs="Times New Roman"/>
          <w:bCs/>
          <w:sz w:val="24"/>
          <w:szCs w:val="24"/>
        </w:rPr>
        <w:t>am</w:t>
      </w:r>
      <w:r w:rsidR="00D96FD6" w:rsidRPr="006326E1">
        <w:rPr>
          <w:rFonts w:ascii="Times New Roman" w:eastAsia="Times New Roman" w:hAnsi="Times New Roman" w:cs="Times New Roman"/>
          <w:bCs/>
          <w:sz w:val="24"/>
          <w:szCs w:val="24"/>
        </w:rPr>
        <w:t xml:space="preserve"> atalgojuma</w:t>
      </w:r>
      <w:r w:rsidR="001E6C02">
        <w:rPr>
          <w:rFonts w:ascii="Times New Roman" w:eastAsia="Times New Roman" w:hAnsi="Times New Roman" w:cs="Times New Roman"/>
          <w:bCs/>
          <w:sz w:val="24"/>
          <w:szCs w:val="24"/>
        </w:rPr>
        <w:t>m</w:t>
      </w:r>
      <w:r w:rsidR="00D96FD6" w:rsidRPr="006326E1">
        <w:rPr>
          <w:rFonts w:ascii="Times New Roman" w:eastAsia="Times New Roman" w:hAnsi="Times New Roman" w:cs="Times New Roman"/>
          <w:bCs/>
          <w:sz w:val="24"/>
          <w:szCs w:val="24"/>
        </w:rPr>
        <w:t xml:space="preserve"> uz vienu nodarbināto ir bijis </w:t>
      </w:r>
      <w:r w:rsidR="0098648B" w:rsidRPr="006326E1">
        <w:rPr>
          <w:rFonts w:ascii="Times New Roman" w:eastAsia="Times New Roman" w:hAnsi="Times New Roman" w:cs="Times New Roman"/>
          <w:bCs/>
          <w:sz w:val="24"/>
          <w:szCs w:val="24"/>
        </w:rPr>
        <w:t>salīdzinoši līdzvērtīgs</w:t>
      </w:r>
      <w:r w:rsidR="006326E1" w:rsidRPr="006326E1">
        <w:rPr>
          <w:rFonts w:ascii="Times New Roman" w:eastAsia="Times New Roman" w:hAnsi="Times New Roman" w:cs="Times New Roman"/>
          <w:bCs/>
          <w:sz w:val="24"/>
          <w:szCs w:val="24"/>
        </w:rPr>
        <w:t>.</w:t>
      </w:r>
    </w:p>
    <w:p w14:paraId="19E31C36" w14:textId="7B708050" w:rsidR="00BC7307" w:rsidRDefault="00BD5D1F" w:rsidP="005052B2">
      <w:pPr>
        <w:tabs>
          <w:tab w:val="left" w:pos="1134"/>
        </w:tabs>
        <w:spacing w:after="0" w:line="240" w:lineRule="auto"/>
        <w:ind w:firstLine="709"/>
        <w:jc w:val="both"/>
        <w:rPr>
          <w:rFonts w:ascii="Times New Roman" w:eastAsia="Times New Roman" w:hAnsi="Times New Roman" w:cs="Times New Roman"/>
          <w:sz w:val="24"/>
          <w:szCs w:val="24"/>
        </w:rPr>
      </w:pPr>
      <w:r w:rsidRPr="00FF4664">
        <w:rPr>
          <w:rFonts w:ascii="Times New Roman" w:eastAsia="Times New Roman" w:hAnsi="Times New Roman" w:cs="Times New Roman"/>
          <w:bCs/>
          <w:sz w:val="24"/>
          <w:szCs w:val="24"/>
        </w:rPr>
        <w:t xml:space="preserve">Secināms, ka kopš PVN samazinātās likmes ieviešanas </w:t>
      </w:r>
      <w:r w:rsidR="00FF056E" w:rsidRPr="00FF4664">
        <w:rPr>
          <w:rFonts w:ascii="Times New Roman" w:eastAsia="Times New Roman" w:hAnsi="Times New Roman" w:cs="Times New Roman"/>
          <w:sz w:val="24"/>
          <w:szCs w:val="24"/>
        </w:rPr>
        <w:t>vidējais atalgojums augļu, ogu un dārzeņu ražošanas nozarē ir palielinājies</w:t>
      </w:r>
      <w:r w:rsidR="006326E1" w:rsidRPr="00FF4664">
        <w:rPr>
          <w:rFonts w:ascii="Times New Roman" w:eastAsia="Times New Roman" w:hAnsi="Times New Roman" w:cs="Times New Roman"/>
          <w:sz w:val="24"/>
          <w:szCs w:val="24"/>
        </w:rPr>
        <w:t xml:space="preserve"> par </w:t>
      </w:r>
      <w:r w:rsidR="00C04CC2" w:rsidRPr="00FF4664">
        <w:rPr>
          <w:rFonts w:ascii="Times New Roman" w:eastAsia="Times New Roman" w:hAnsi="Times New Roman" w:cs="Times New Roman"/>
          <w:sz w:val="24"/>
          <w:szCs w:val="24"/>
        </w:rPr>
        <w:t xml:space="preserve">120 </w:t>
      </w:r>
      <w:proofErr w:type="spellStart"/>
      <w:r w:rsidR="00C04CC2" w:rsidRPr="00FF4664">
        <w:rPr>
          <w:rFonts w:ascii="Times New Roman" w:eastAsia="Times New Roman" w:hAnsi="Times New Roman" w:cs="Times New Roman"/>
          <w:i/>
          <w:iCs/>
          <w:sz w:val="24"/>
          <w:szCs w:val="24"/>
        </w:rPr>
        <w:t>euro</w:t>
      </w:r>
      <w:proofErr w:type="spellEnd"/>
      <w:r w:rsidR="00C04CC2" w:rsidRPr="00FF4664">
        <w:rPr>
          <w:rFonts w:ascii="Times New Roman" w:eastAsia="Times New Roman" w:hAnsi="Times New Roman" w:cs="Times New Roman"/>
          <w:sz w:val="24"/>
          <w:szCs w:val="24"/>
        </w:rPr>
        <w:t xml:space="preserve"> jeb 19,8</w:t>
      </w:r>
      <w:r w:rsidR="00EA16A3">
        <w:rPr>
          <w:rFonts w:ascii="Times New Roman" w:eastAsia="Times New Roman" w:hAnsi="Times New Roman" w:cs="Times New Roman"/>
          <w:sz w:val="24"/>
          <w:szCs w:val="24"/>
        </w:rPr>
        <w:t> </w:t>
      </w:r>
      <w:r w:rsidR="00C04CC2" w:rsidRPr="00FF4664">
        <w:rPr>
          <w:rFonts w:ascii="Times New Roman" w:eastAsia="Times New Roman" w:hAnsi="Times New Roman" w:cs="Times New Roman"/>
          <w:sz w:val="24"/>
          <w:szCs w:val="24"/>
        </w:rPr>
        <w:t>% 2018.</w:t>
      </w:r>
      <w:r w:rsidR="001E6C02">
        <w:rPr>
          <w:rFonts w:ascii="Times New Roman" w:eastAsia="Times New Roman" w:hAnsi="Times New Roman" w:cs="Times New Roman"/>
          <w:sz w:val="24"/>
          <w:szCs w:val="24"/>
        </w:rPr>
        <w:t xml:space="preserve"> </w:t>
      </w:r>
      <w:r w:rsidR="00C04CC2" w:rsidRPr="00FF4664">
        <w:rPr>
          <w:rFonts w:ascii="Times New Roman" w:eastAsia="Times New Roman" w:hAnsi="Times New Roman" w:cs="Times New Roman"/>
          <w:sz w:val="24"/>
          <w:szCs w:val="24"/>
        </w:rPr>
        <w:t>gadā,</w:t>
      </w:r>
      <w:r w:rsidR="00FF056E" w:rsidRPr="00FF4664">
        <w:rPr>
          <w:rFonts w:ascii="Times New Roman" w:eastAsia="Times New Roman" w:hAnsi="Times New Roman" w:cs="Times New Roman"/>
          <w:sz w:val="24"/>
          <w:szCs w:val="24"/>
        </w:rPr>
        <w:t xml:space="preserve"> par </w:t>
      </w:r>
      <w:r w:rsidR="00F33324" w:rsidRPr="00FF4664">
        <w:rPr>
          <w:rFonts w:ascii="Times New Roman" w:eastAsia="Times New Roman" w:hAnsi="Times New Roman" w:cs="Times New Roman"/>
          <w:sz w:val="24"/>
          <w:szCs w:val="24"/>
        </w:rPr>
        <w:t xml:space="preserve">63 </w:t>
      </w:r>
      <w:proofErr w:type="spellStart"/>
      <w:r w:rsidR="00F33324" w:rsidRPr="00FF4664">
        <w:rPr>
          <w:rFonts w:ascii="Times New Roman" w:eastAsia="Times New Roman" w:hAnsi="Times New Roman" w:cs="Times New Roman"/>
          <w:i/>
          <w:iCs/>
          <w:sz w:val="24"/>
          <w:szCs w:val="24"/>
        </w:rPr>
        <w:t>euro</w:t>
      </w:r>
      <w:proofErr w:type="spellEnd"/>
      <w:r w:rsidR="00F33324" w:rsidRPr="00FF4664">
        <w:rPr>
          <w:rFonts w:ascii="Times New Roman" w:eastAsia="Times New Roman" w:hAnsi="Times New Roman" w:cs="Times New Roman"/>
          <w:sz w:val="24"/>
          <w:szCs w:val="24"/>
        </w:rPr>
        <w:t xml:space="preserve"> jeb </w:t>
      </w:r>
      <w:r w:rsidR="0046245E" w:rsidRPr="00FF4664">
        <w:rPr>
          <w:rFonts w:ascii="Times New Roman" w:eastAsia="Times New Roman" w:hAnsi="Times New Roman" w:cs="Times New Roman"/>
          <w:sz w:val="24"/>
          <w:szCs w:val="24"/>
        </w:rPr>
        <w:t>8,6</w:t>
      </w:r>
      <w:r w:rsidR="00BC7307" w:rsidRPr="00FF4664">
        <w:rPr>
          <w:rFonts w:ascii="Times New Roman" w:eastAsia="Times New Roman" w:hAnsi="Times New Roman" w:cs="Times New Roman"/>
          <w:sz w:val="24"/>
          <w:szCs w:val="24"/>
        </w:rPr>
        <w:t> </w:t>
      </w:r>
      <w:r w:rsidR="0046245E" w:rsidRPr="00FF4664">
        <w:rPr>
          <w:rFonts w:ascii="Times New Roman" w:eastAsia="Times New Roman" w:hAnsi="Times New Roman" w:cs="Times New Roman"/>
          <w:sz w:val="24"/>
          <w:szCs w:val="24"/>
        </w:rPr>
        <w:t>% 2019.</w:t>
      </w:r>
      <w:r w:rsidR="00BC7307" w:rsidRPr="00FF4664">
        <w:rPr>
          <w:rFonts w:ascii="Times New Roman" w:eastAsia="Times New Roman" w:hAnsi="Times New Roman" w:cs="Times New Roman"/>
          <w:sz w:val="24"/>
          <w:szCs w:val="24"/>
        </w:rPr>
        <w:t> </w:t>
      </w:r>
      <w:r w:rsidR="0046245E" w:rsidRPr="00FF4664">
        <w:rPr>
          <w:rFonts w:ascii="Times New Roman" w:eastAsia="Times New Roman" w:hAnsi="Times New Roman" w:cs="Times New Roman"/>
          <w:sz w:val="24"/>
          <w:szCs w:val="24"/>
        </w:rPr>
        <w:t xml:space="preserve">gadā, par 36 </w:t>
      </w:r>
      <w:proofErr w:type="spellStart"/>
      <w:r w:rsidR="0046245E" w:rsidRPr="00FF4664">
        <w:rPr>
          <w:rFonts w:ascii="Times New Roman" w:eastAsia="Times New Roman" w:hAnsi="Times New Roman" w:cs="Times New Roman"/>
          <w:i/>
          <w:iCs/>
          <w:sz w:val="24"/>
          <w:szCs w:val="24"/>
        </w:rPr>
        <w:t>euro</w:t>
      </w:r>
      <w:proofErr w:type="spellEnd"/>
      <w:r w:rsidR="0046245E" w:rsidRPr="00FF4664">
        <w:rPr>
          <w:rFonts w:ascii="Times New Roman" w:eastAsia="Times New Roman" w:hAnsi="Times New Roman" w:cs="Times New Roman"/>
          <w:sz w:val="24"/>
          <w:szCs w:val="24"/>
        </w:rPr>
        <w:t xml:space="preserve"> jeb 4,6</w:t>
      </w:r>
      <w:r w:rsidR="00BC7307" w:rsidRPr="00FF4664">
        <w:rPr>
          <w:rFonts w:ascii="Times New Roman" w:eastAsia="Times New Roman" w:hAnsi="Times New Roman" w:cs="Times New Roman"/>
          <w:sz w:val="24"/>
          <w:szCs w:val="24"/>
        </w:rPr>
        <w:t> </w:t>
      </w:r>
      <w:r w:rsidR="0046245E" w:rsidRPr="00FF4664">
        <w:rPr>
          <w:rFonts w:ascii="Times New Roman" w:eastAsia="Times New Roman" w:hAnsi="Times New Roman" w:cs="Times New Roman"/>
          <w:sz w:val="24"/>
          <w:szCs w:val="24"/>
        </w:rPr>
        <w:t xml:space="preserve">% </w:t>
      </w:r>
      <w:r w:rsidR="00BC7307" w:rsidRPr="00FF4664">
        <w:rPr>
          <w:rFonts w:ascii="Times New Roman" w:eastAsia="Times New Roman" w:hAnsi="Times New Roman" w:cs="Times New Roman"/>
          <w:sz w:val="24"/>
          <w:szCs w:val="24"/>
        </w:rPr>
        <w:t xml:space="preserve">2020. gadā, par 78 </w:t>
      </w:r>
      <w:proofErr w:type="spellStart"/>
      <w:r w:rsidR="00BC7307" w:rsidRPr="00FF4664">
        <w:rPr>
          <w:rFonts w:ascii="Times New Roman" w:eastAsia="Times New Roman" w:hAnsi="Times New Roman" w:cs="Times New Roman"/>
          <w:i/>
          <w:iCs/>
          <w:sz w:val="24"/>
          <w:szCs w:val="24"/>
        </w:rPr>
        <w:t>euro</w:t>
      </w:r>
      <w:proofErr w:type="spellEnd"/>
      <w:r w:rsidR="00BC7307" w:rsidRPr="00FF4664">
        <w:rPr>
          <w:rFonts w:ascii="Times New Roman" w:eastAsia="Times New Roman" w:hAnsi="Times New Roman" w:cs="Times New Roman"/>
          <w:sz w:val="24"/>
          <w:szCs w:val="24"/>
        </w:rPr>
        <w:t xml:space="preserve"> jeb 9,4 % 2021. gadā un par 40 </w:t>
      </w:r>
      <w:proofErr w:type="spellStart"/>
      <w:r w:rsidR="00BC7307" w:rsidRPr="00FF4664">
        <w:rPr>
          <w:rFonts w:ascii="Times New Roman" w:eastAsia="Times New Roman" w:hAnsi="Times New Roman" w:cs="Times New Roman"/>
          <w:i/>
          <w:iCs/>
          <w:sz w:val="24"/>
          <w:szCs w:val="24"/>
        </w:rPr>
        <w:t>euro</w:t>
      </w:r>
      <w:proofErr w:type="spellEnd"/>
      <w:r w:rsidR="00BC7307" w:rsidRPr="00FF4664">
        <w:rPr>
          <w:rFonts w:ascii="Times New Roman" w:eastAsia="Times New Roman" w:hAnsi="Times New Roman" w:cs="Times New Roman"/>
          <w:sz w:val="24"/>
          <w:szCs w:val="24"/>
        </w:rPr>
        <w:t xml:space="preserve"> jeb 4,4 % 2022. gadā.</w:t>
      </w:r>
    </w:p>
    <w:p w14:paraId="718B9998" w14:textId="367F56FE" w:rsidR="00BF5327" w:rsidRDefault="00BF5327" w:rsidP="00BF5327">
      <w:pPr>
        <w:tabs>
          <w:tab w:val="left" w:pos="1134"/>
        </w:tabs>
        <w:spacing w:before="120" w:after="12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3.tabula</w:t>
      </w:r>
    </w:p>
    <w:tbl>
      <w:tblPr>
        <w:tblStyle w:val="TableGrid"/>
        <w:tblW w:w="0" w:type="auto"/>
        <w:jc w:val="center"/>
        <w:tblLook w:val="04A0" w:firstRow="1" w:lastRow="0" w:firstColumn="1" w:lastColumn="0" w:noHBand="0" w:noVBand="1"/>
      </w:tblPr>
      <w:tblGrid>
        <w:gridCol w:w="1470"/>
        <w:gridCol w:w="1363"/>
        <w:gridCol w:w="1557"/>
        <w:gridCol w:w="1557"/>
        <w:gridCol w:w="1557"/>
        <w:gridCol w:w="1557"/>
      </w:tblGrid>
      <w:tr w:rsidR="002B356F" w:rsidRPr="002B356F" w14:paraId="489EFDEE" w14:textId="77777777" w:rsidTr="002B356F">
        <w:trPr>
          <w:jc w:val="center"/>
        </w:trPr>
        <w:tc>
          <w:tcPr>
            <w:tcW w:w="9061" w:type="dxa"/>
            <w:gridSpan w:val="6"/>
            <w:shd w:val="clear" w:color="auto" w:fill="auto"/>
          </w:tcPr>
          <w:p w14:paraId="6664EB2D" w14:textId="4F3D7905" w:rsidR="002B356F" w:rsidRPr="002B356F" w:rsidRDefault="002B356F" w:rsidP="00846C68">
            <w:pPr>
              <w:tabs>
                <w:tab w:val="left" w:pos="1134"/>
              </w:tabs>
              <w:spacing w:after="120"/>
              <w:jc w:val="both"/>
              <w:rPr>
                <w:rFonts w:ascii="Times New Roman" w:eastAsia="Times New Roman" w:hAnsi="Times New Roman" w:cs="Times New Roman"/>
                <w:b/>
                <w:sz w:val="24"/>
                <w:szCs w:val="24"/>
              </w:rPr>
            </w:pPr>
            <w:r w:rsidRPr="002B356F">
              <w:rPr>
                <w:rFonts w:ascii="Times New Roman" w:eastAsia="Times New Roman" w:hAnsi="Times New Roman" w:cs="Times New Roman"/>
                <w:b/>
                <w:sz w:val="24"/>
                <w:szCs w:val="24"/>
              </w:rPr>
              <w:t>Rezultatīvais rādītājs “</w:t>
            </w:r>
            <w:r w:rsidRPr="002B356F">
              <w:rPr>
                <w:rFonts w:ascii="Times New Roman" w:eastAsia="Times New Roman" w:hAnsi="Times New Roman"/>
                <w:b/>
                <w:sz w:val="24"/>
                <w:szCs w:val="24"/>
                <w:lang w:eastAsia="lv-LV"/>
              </w:rPr>
              <w:t xml:space="preserve">Apgrozījums darījumiem ar Pievienotās vērtības nodokļa likuma 1.pielikumā noteiktajiem svaigiem augļiem, ogām un dārzeņiem salīdzinājumā </w:t>
            </w:r>
            <w:r w:rsidR="00FC453E">
              <w:rPr>
                <w:rFonts w:ascii="Times New Roman" w:eastAsia="Times New Roman" w:hAnsi="Times New Roman"/>
                <w:b/>
                <w:sz w:val="24"/>
                <w:szCs w:val="24"/>
                <w:lang w:eastAsia="lv-LV"/>
              </w:rPr>
              <w:t>ar</w:t>
            </w:r>
            <w:r w:rsidRPr="002B356F">
              <w:rPr>
                <w:rFonts w:ascii="Times New Roman" w:eastAsia="Times New Roman" w:hAnsi="Times New Roman"/>
                <w:b/>
                <w:sz w:val="24"/>
                <w:szCs w:val="24"/>
                <w:lang w:eastAsia="lv-LV"/>
              </w:rPr>
              <w:t xml:space="preserve"> apgrozījumu kopējiem darījumiem (neieskaitot darījumus ar Pievienotās vērtības nodokļa likuma 1.</w:t>
            </w:r>
            <w:r w:rsidR="00AA2A84">
              <w:rPr>
                <w:rFonts w:ascii="Times New Roman" w:eastAsia="Times New Roman" w:hAnsi="Times New Roman"/>
                <w:b/>
                <w:sz w:val="24"/>
                <w:szCs w:val="24"/>
                <w:lang w:eastAsia="lv-LV"/>
              </w:rPr>
              <w:t xml:space="preserve"> </w:t>
            </w:r>
            <w:r w:rsidRPr="002B356F">
              <w:rPr>
                <w:rFonts w:ascii="Times New Roman" w:eastAsia="Times New Roman" w:hAnsi="Times New Roman"/>
                <w:b/>
                <w:sz w:val="24"/>
                <w:szCs w:val="24"/>
                <w:lang w:eastAsia="lv-LV"/>
              </w:rPr>
              <w:t xml:space="preserve">pielikumā noteiktajiem svaigiem augļiem, ogām un dārzeņiem) ir lielāks par </w:t>
            </w:r>
            <w:r w:rsidR="00AA2A84">
              <w:rPr>
                <w:rFonts w:ascii="Times New Roman" w:eastAsia="Times New Roman" w:hAnsi="Times New Roman"/>
                <w:b/>
                <w:sz w:val="24"/>
                <w:szCs w:val="24"/>
                <w:lang w:eastAsia="lv-LV"/>
              </w:rPr>
              <w:t>sešiem</w:t>
            </w:r>
            <w:r w:rsidRPr="002B356F">
              <w:rPr>
                <w:rFonts w:ascii="Times New Roman" w:eastAsia="Times New Roman" w:hAnsi="Times New Roman"/>
                <w:b/>
                <w:sz w:val="24"/>
                <w:szCs w:val="24"/>
                <w:lang w:eastAsia="lv-LV"/>
              </w:rPr>
              <w:t xml:space="preserve"> procentpunktiem (ik gadu)”</w:t>
            </w:r>
          </w:p>
        </w:tc>
      </w:tr>
      <w:tr w:rsidR="002B356F" w:rsidRPr="00441C7C" w14:paraId="5D6BB9D5" w14:textId="77777777" w:rsidTr="002B356F">
        <w:trPr>
          <w:jc w:val="center"/>
        </w:trPr>
        <w:tc>
          <w:tcPr>
            <w:tcW w:w="1470" w:type="dxa"/>
            <w:shd w:val="clear" w:color="auto" w:fill="auto"/>
          </w:tcPr>
          <w:p w14:paraId="733E1F08"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p>
        </w:tc>
        <w:tc>
          <w:tcPr>
            <w:tcW w:w="1363" w:type="dxa"/>
            <w:shd w:val="clear" w:color="auto" w:fill="auto"/>
          </w:tcPr>
          <w:p w14:paraId="6C9E3370"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2018./2017.</w:t>
            </w:r>
          </w:p>
          <w:p w14:paraId="16807279" w14:textId="21203BAE"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4CEAD17D"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2019./2018.</w:t>
            </w:r>
          </w:p>
          <w:p w14:paraId="58B44BB8" w14:textId="3C3EB6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6765C8EA"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2020./2019.</w:t>
            </w:r>
          </w:p>
          <w:p w14:paraId="17C9C1CA" w14:textId="583E418E"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3581F81E" w14:textId="56720C04"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w:t>
            </w:r>
            <w:r w:rsidR="00CD4ADC">
              <w:rPr>
                <w:rFonts w:ascii="Times New Roman" w:eastAsia="Times New Roman" w:hAnsi="Times New Roman" w:cs="Times New Roman"/>
                <w:bCs/>
                <w:sz w:val="24"/>
                <w:szCs w:val="24"/>
              </w:rPr>
              <w:t>1</w:t>
            </w:r>
            <w:r w:rsidRPr="002B356F">
              <w:rPr>
                <w:rFonts w:ascii="Times New Roman" w:eastAsia="Times New Roman" w:hAnsi="Times New Roman" w:cs="Times New Roman"/>
                <w:bCs/>
                <w:sz w:val="24"/>
                <w:szCs w:val="24"/>
              </w:rPr>
              <w:t>./202</w:t>
            </w:r>
            <w:r w:rsidR="00CD4ADC">
              <w:rPr>
                <w:rFonts w:ascii="Times New Roman" w:eastAsia="Times New Roman" w:hAnsi="Times New Roman" w:cs="Times New Roman"/>
                <w:bCs/>
                <w:sz w:val="24"/>
                <w:szCs w:val="24"/>
              </w:rPr>
              <w:t>0</w:t>
            </w:r>
            <w:r w:rsidRPr="002B356F">
              <w:rPr>
                <w:rFonts w:ascii="Times New Roman" w:eastAsia="Times New Roman" w:hAnsi="Times New Roman" w:cs="Times New Roman"/>
                <w:bCs/>
                <w:sz w:val="24"/>
                <w:szCs w:val="24"/>
              </w:rPr>
              <w:t>.</w:t>
            </w:r>
          </w:p>
          <w:p w14:paraId="321C2419" w14:textId="2522722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09754685"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2021./2022.</w:t>
            </w:r>
          </w:p>
          <w:p w14:paraId="7CA19205" w14:textId="0167E2D2"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r>
      <w:tr w:rsidR="002B356F" w:rsidRPr="002B356F" w14:paraId="3EFAF447" w14:textId="77777777" w:rsidTr="002B356F">
        <w:trPr>
          <w:jc w:val="center"/>
        </w:trPr>
        <w:tc>
          <w:tcPr>
            <w:tcW w:w="1470" w:type="dxa"/>
          </w:tcPr>
          <w:p w14:paraId="2C49E29A" w14:textId="0B729487" w:rsidR="002B356F" w:rsidRPr="002B356F" w:rsidRDefault="002B356F" w:rsidP="002B356F">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Rezultatīvais rādītājs, procenti</w:t>
            </w:r>
          </w:p>
        </w:tc>
        <w:tc>
          <w:tcPr>
            <w:tcW w:w="1363" w:type="dxa"/>
            <w:vAlign w:val="center"/>
          </w:tcPr>
          <w:p w14:paraId="08C50F80" w14:textId="6E88B969"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vAlign w:val="center"/>
          </w:tcPr>
          <w:p w14:paraId="0AF0634A"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vAlign w:val="center"/>
          </w:tcPr>
          <w:p w14:paraId="431DD3CB"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vAlign w:val="center"/>
          </w:tcPr>
          <w:p w14:paraId="6A52D847"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vAlign w:val="center"/>
          </w:tcPr>
          <w:p w14:paraId="07400B37" w14:textId="77777777" w:rsidR="002B356F" w:rsidRPr="002B356F" w:rsidRDefault="002B356F" w:rsidP="002B356F">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r>
      <w:tr w:rsidR="002B356F" w:rsidRPr="002B356F" w14:paraId="63A49B4A" w14:textId="77777777" w:rsidTr="002B356F">
        <w:trPr>
          <w:jc w:val="center"/>
        </w:trPr>
        <w:tc>
          <w:tcPr>
            <w:tcW w:w="1470" w:type="dxa"/>
          </w:tcPr>
          <w:p w14:paraId="6CEA2A78" w14:textId="45B8AC00" w:rsidR="002B356F" w:rsidRPr="002B356F" w:rsidRDefault="002B356F" w:rsidP="002B356F">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Izpilde, procenti</w:t>
            </w:r>
          </w:p>
        </w:tc>
        <w:tc>
          <w:tcPr>
            <w:tcW w:w="1363" w:type="dxa"/>
            <w:vAlign w:val="center"/>
          </w:tcPr>
          <w:p w14:paraId="3C7A2395" w14:textId="2740CC8A" w:rsidR="002B356F" w:rsidRPr="002B356F" w:rsidRDefault="00F378D1" w:rsidP="002B356F">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color w:val="70AD47" w:themeColor="accent6"/>
                <w:sz w:val="24"/>
                <w:szCs w:val="24"/>
              </w:rPr>
              <w:t>+</w:t>
            </w:r>
            <w:r w:rsidR="002B356F" w:rsidRPr="002B356F">
              <w:rPr>
                <w:rFonts w:ascii="Times New Roman" w:eastAsia="Times New Roman" w:hAnsi="Times New Roman" w:cs="Times New Roman"/>
                <w:b/>
                <w:color w:val="70AD47" w:themeColor="accent6"/>
                <w:sz w:val="24"/>
                <w:szCs w:val="24"/>
              </w:rPr>
              <w:t>20</w:t>
            </w:r>
          </w:p>
        </w:tc>
        <w:tc>
          <w:tcPr>
            <w:tcW w:w="1557" w:type="dxa"/>
            <w:vAlign w:val="center"/>
          </w:tcPr>
          <w:p w14:paraId="34B3D229" w14:textId="1648F9B1" w:rsidR="002B356F" w:rsidRPr="002B356F" w:rsidRDefault="00F378D1" w:rsidP="002B356F">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w:t>
            </w:r>
            <w:r w:rsidR="002B356F" w:rsidRPr="002B356F">
              <w:rPr>
                <w:rFonts w:ascii="Times New Roman" w:eastAsia="Times New Roman" w:hAnsi="Times New Roman" w:cs="Times New Roman"/>
                <w:b/>
                <w:color w:val="70AD47" w:themeColor="accent6"/>
                <w:sz w:val="24"/>
                <w:szCs w:val="24"/>
              </w:rPr>
              <w:t>9</w:t>
            </w:r>
          </w:p>
        </w:tc>
        <w:tc>
          <w:tcPr>
            <w:tcW w:w="1557" w:type="dxa"/>
            <w:vAlign w:val="center"/>
          </w:tcPr>
          <w:p w14:paraId="71925039" w14:textId="6D454B56" w:rsidR="002B356F" w:rsidRPr="002B356F" w:rsidRDefault="005B00E3" w:rsidP="002B356F">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2B356F" w:rsidRPr="002B356F">
              <w:rPr>
                <w:rFonts w:ascii="Times New Roman" w:eastAsia="Times New Roman" w:hAnsi="Times New Roman" w:cs="Times New Roman"/>
                <w:b/>
                <w:color w:val="FF0000"/>
                <w:sz w:val="24"/>
                <w:szCs w:val="24"/>
              </w:rPr>
              <w:t>5</w:t>
            </w:r>
          </w:p>
        </w:tc>
        <w:tc>
          <w:tcPr>
            <w:tcW w:w="1557" w:type="dxa"/>
            <w:vAlign w:val="center"/>
          </w:tcPr>
          <w:p w14:paraId="151C990A" w14:textId="0D27A09E" w:rsidR="002B356F" w:rsidRPr="002B356F" w:rsidRDefault="00F378D1" w:rsidP="002B356F">
            <w:pPr>
              <w:tabs>
                <w:tab w:val="left" w:pos="1134"/>
              </w:tabs>
              <w:jc w:val="center"/>
              <w:rPr>
                <w:rFonts w:ascii="Times New Roman" w:eastAsia="Times New Roman" w:hAnsi="Times New Roman" w:cs="Times New Roman"/>
                <w:b/>
                <w:color w:val="E2EFD9" w:themeColor="accent6" w:themeTint="33"/>
                <w:sz w:val="24"/>
                <w:szCs w:val="24"/>
              </w:rPr>
            </w:pPr>
            <w:r>
              <w:rPr>
                <w:rFonts w:ascii="Times New Roman" w:eastAsia="Times New Roman" w:hAnsi="Times New Roman" w:cs="Times New Roman"/>
                <w:b/>
                <w:color w:val="70AD47" w:themeColor="accent6"/>
                <w:sz w:val="24"/>
                <w:szCs w:val="24"/>
              </w:rPr>
              <w:t>+</w:t>
            </w:r>
            <w:r w:rsidR="002B356F" w:rsidRPr="002B356F">
              <w:rPr>
                <w:rFonts w:ascii="Times New Roman" w:eastAsia="Times New Roman" w:hAnsi="Times New Roman" w:cs="Times New Roman"/>
                <w:b/>
                <w:color w:val="70AD47" w:themeColor="accent6"/>
                <w:sz w:val="24"/>
                <w:szCs w:val="24"/>
              </w:rPr>
              <w:t>9</w:t>
            </w:r>
          </w:p>
        </w:tc>
        <w:tc>
          <w:tcPr>
            <w:tcW w:w="1557" w:type="dxa"/>
            <w:vAlign w:val="center"/>
          </w:tcPr>
          <w:p w14:paraId="0527D1B4" w14:textId="59F9A461" w:rsidR="002B356F" w:rsidRPr="002B356F" w:rsidRDefault="00AA2A84" w:rsidP="002B356F">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2B356F" w:rsidRPr="002B356F">
              <w:rPr>
                <w:rFonts w:ascii="Times New Roman" w:eastAsia="Times New Roman" w:hAnsi="Times New Roman" w:cs="Times New Roman"/>
                <w:b/>
                <w:color w:val="FF0000"/>
                <w:sz w:val="24"/>
                <w:szCs w:val="24"/>
              </w:rPr>
              <w:t>4</w:t>
            </w:r>
          </w:p>
        </w:tc>
      </w:tr>
      <w:tr w:rsidR="002B356F" w:rsidRPr="003378FD" w14:paraId="69861E19" w14:textId="77777777" w:rsidTr="002B356F">
        <w:trPr>
          <w:jc w:val="center"/>
        </w:trPr>
        <w:tc>
          <w:tcPr>
            <w:tcW w:w="1470" w:type="dxa"/>
          </w:tcPr>
          <w:p w14:paraId="61F774C5" w14:textId="77777777" w:rsidR="002B356F" w:rsidRPr="002B356F" w:rsidRDefault="002B356F" w:rsidP="002B356F">
            <w:pPr>
              <w:tabs>
                <w:tab w:val="left" w:pos="1134"/>
              </w:tabs>
              <w:jc w:val="center"/>
              <w:rPr>
                <w:rFonts w:ascii="Times New Roman" w:eastAsia="Times New Roman" w:hAnsi="Times New Roman" w:cs="Times New Roman"/>
                <w:b/>
                <w:i/>
                <w:iCs/>
                <w:sz w:val="24"/>
                <w:szCs w:val="24"/>
              </w:rPr>
            </w:pPr>
          </w:p>
        </w:tc>
        <w:tc>
          <w:tcPr>
            <w:tcW w:w="7591" w:type="dxa"/>
            <w:gridSpan w:val="5"/>
          </w:tcPr>
          <w:p w14:paraId="3CE648DD" w14:textId="52BB7BDC" w:rsidR="002B356F" w:rsidRPr="003378FD" w:rsidRDefault="002B356F" w:rsidP="002B356F">
            <w:pPr>
              <w:tabs>
                <w:tab w:val="left" w:pos="1134"/>
              </w:tabs>
              <w:jc w:val="center"/>
              <w:rPr>
                <w:rFonts w:ascii="Times New Roman" w:eastAsia="Times New Roman" w:hAnsi="Times New Roman" w:cs="Times New Roman"/>
                <w:b/>
                <w:i/>
                <w:iCs/>
                <w:sz w:val="24"/>
                <w:szCs w:val="24"/>
              </w:rPr>
            </w:pPr>
            <w:r w:rsidRPr="002B356F">
              <w:rPr>
                <w:rFonts w:ascii="Times New Roman" w:eastAsia="Times New Roman" w:hAnsi="Times New Roman" w:cs="Times New Roman"/>
                <w:b/>
                <w:i/>
                <w:iCs/>
                <w:sz w:val="24"/>
                <w:szCs w:val="24"/>
              </w:rPr>
              <w:t>Izpildīts daļēji</w:t>
            </w:r>
            <w:r w:rsidR="00AA2A84">
              <w:rPr>
                <w:rFonts w:ascii="Times New Roman" w:eastAsia="Times New Roman" w:hAnsi="Times New Roman" w:cs="Times New Roman"/>
                <w:b/>
                <w:i/>
                <w:iCs/>
                <w:sz w:val="24"/>
                <w:szCs w:val="24"/>
              </w:rPr>
              <w:t>.</w:t>
            </w:r>
          </w:p>
        </w:tc>
      </w:tr>
    </w:tbl>
    <w:p w14:paraId="2870B4BD" w14:textId="77777777" w:rsidR="009A6EC4" w:rsidRDefault="009A6EC4" w:rsidP="00353150">
      <w:pPr>
        <w:pStyle w:val="ListParagraph"/>
        <w:spacing w:after="0" w:line="240" w:lineRule="auto"/>
        <w:contextualSpacing w:val="0"/>
        <w:rPr>
          <w:rFonts w:ascii="Times New Roman" w:eastAsia="Times New Roman" w:hAnsi="Times New Roman" w:cs="Times New Roman"/>
          <w:bCs/>
          <w:sz w:val="24"/>
          <w:szCs w:val="24"/>
        </w:rPr>
      </w:pPr>
    </w:p>
    <w:p w14:paraId="699BC217" w14:textId="77777777" w:rsidR="00FE0653" w:rsidRDefault="00FE0653" w:rsidP="00353150">
      <w:pPr>
        <w:pStyle w:val="ListParagraph"/>
        <w:spacing w:after="0" w:line="240" w:lineRule="auto"/>
        <w:contextualSpacing w:val="0"/>
        <w:rPr>
          <w:rFonts w:ascii="Times New Roman" w:eastAsia="Times New Roman" w:hAnsi="Times New Roman" w:cs="Times New Roman"/>
          <w:bCs/>
          <w:sz w:val="24"/>
          <w:szCs w:val="24"/>
        </w:rPr>
      </w:pPr>
    </w:p>
    <w:p w14:paraId="3AA5A950" w14:textId="77777777" w:rsidR="00FE0653" w:rsidRPr="00723C3E" w:rsidRDefault="00FE0653" w:rsidP="00353150">
      <w:pPr>
        <w:pStyle w:val="ListParagraph"/>
        <w:spacing w:after="0" w:line="240" w:lineRule="auto"/>
        <w:contextualSpacing w:val="0"/>
        <w:rPr>
          <w:rFonts w:ascii="Times New Roman" w:eastAsia="Times New Roman" w:hAnsi="Times New Roman" w:cs="Times New Roman"/>
          <w:bCs/>
          <w:sz w:val="24"/>
          <w:szCs w:val="24"/>
        </w:rPr>
      </w:pPr>
    </w:p>
    <w:p w14:paraId="21B2EE7E" w14:textId="6DC80558" w:rsidR="009A6EC4" w:rsidRDefault="00A970DA" w:rsidP="00353150">
      <w:pPr>
        <w:pStyle w:val="ListParagraph"/>
        <w:numPr>
          <w:ilvl w:val="1"/>
          <w:numId w:val="20"/>
        </w:numPr>
        <w:tabs>
          <w:tab w:val="left" w:pos="1134"/>
        </w:tabs>
        <w:spacing w:after="120" w:line="240" w:lineRule="auto"/>
        <w:ind w:left="1434" w:hanging="357"/>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9A6EC4" w:rsidRPr="009A6EC4">
        <w:rPr>
          <w:rFonts w:ascii="Times New Roman" w:eastAsia="Times New Roman" w:hAnsi="Times New Roman" w:cs="Times New Roman"/>
          <w:b/>
          <w:sz w:val="24"/>
          <w:szCs w:val="24"/>
        </w:rPr>
        <w:t>Rezultatīvais rādītājs “Ēnu ekonomika ir mazinājusies (ik gadu)</w:t>
      </w:r>
      <w:r>
        <w:rPr>
          <w:rFonts w:ascii="Times New Roman" w:eastAsia="Times New Roman" w:hAnsi="Times New Roman" w:cs="Times New Roman"/>
          <w:b/>
          <w:sz w:val="24"/>
          <w:szCs w:val="24"/>
        </w:rPr>
        <w:t>”</w:t>
      </w:r>
    </w:p>
    <w:p w14:paraId="2EEE6A84" w14:textId="77777777" w:rsidR="002B356F" w:rsidRDefault="00770710" w:rsidP="001F2947">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Viens no PVN samazinātās likmes ieviešanas un saglabāšanas mērķiem ir </w:t>
      </w:r>
      <w:r w:rsidR="001F2947">
        <w:rPr>
          <w:rFonts w:ascii="Times New Roman" w:eastAsia="Times New Roman" w:hAnsi="Times New Roman" w:cs="Times New Roman"/>
          <w:sz w:val="24"/>
          <w:szCs w:val="24"/>
        </w:rPr>
        <w:t>mazināt</w:t>
      </w:r>
      <w:r>
        <w:rPr>
          <w:rFonts w:ascii="Times New Roman" w:eastAsia="Times New Roman" w:hAnsi="Times New Roman" w:cs="Times New Roman"/>
          <w:sz w:val="24"/>
          <w:szCs w:val="24"/>
        </w:rPr>
        <w:t xml:space="preserve"> ēnu ekonomiku </w:t>
      </w:r>
      <w:r w:rsidR="001F2947">
        <w:rPr>
          <w:rFonts w:ascii="Times New Roman" w:eastAsia="Times New Roman" w:hAnsi="Times New Roman" w:cs="Times New Roman"/>
          <w:sz w:val="24"/>
          <w:szCs w:val="24"/>
        </w:rPr>
        <w:t xml:space="preserve">augļu, ogu un dārzeņu tirdzniecībā. </w:t>
      </w:r>
    </w:p>
    <w:p w14:paraId="6981F620" w14:textId="117F6746" w:rsidR="001F2947" w:rsidRDefault="001F2947" w:rsidP="001F2947">
      <w:pPr>
        <w:tabs>
          <w:tab w:val="left" w:pos="1134"/>
        </w:tabs>
        <w:spacing w:after="0" w:line="240" w:lineRule="auto"/>
        <w:ind w:firstLine="709"/>
        <w:jc w:val="both"/>
        <w:rPr>
          <w:rFonts w:ascii="Times New Roman" w:eastAsia="Times New Roman" w:hAnsi="Times New Roman" w:cs="Times New Roman"/>
          <w:sz w:val="24"/>
          <w:szCs w:val="24"/>
        </w:rPr>
      </w:pPr>
      <w:r w:rsidRPr="00DD72A8">
        <w:rPr>
          <w:rFonts w:ascii="Times New Roman" w:hAnsi="Times New Roman" w:cs="Times New Roman"/>
          <w:sz w:val="24"/>
          <w:szCs w:val="24"/>
        </w:rPr>
        <w:t>Ēnu ekonomikas ierobežošana ir viens no būtiskākajiem jautājumiem, lai nodrošinātu komersantiem atbilstošu un konkurētspējīgu uzņēmējdarbības vidi, uzlabojot tiesisko bāzi, samazinot administratīvo slogu, korupciju un ēnu ekonomiku tautsaimniecībā, vienlaikus nodrošinot prognozējamu nodokļu politiku</w:t>
      </w:r>
      <w:r w:rsidR="00FC453E">
        <w:rPr>
          <w:rFonts w:ascii="Times New Roman" w:hAnsi="Times New Roman" w:cs="Times New Roman"/>
          <w:sz w:val="24"/>
          <w:szCs w:val="24"/>
        </w:rPr>
        <w:t>,</w:t>
      </w:r>
      <w:r w:rsidRPr="00DD72A8">
        <w:rPr>
          <w:rFonts w:ascii="Times New Roman" w:hAnsi="Times New Roman" w:cs="Times New Roman"/>
          <w:sz w:val="24"/>
          <w:szCs w:val="24"/>
        </w:rPr>
        <w:t xml:space="preserve"> uzlabojot valsts pārvaldes darba efektivitāti</w:t>
      </w:r>
      <w:r w:rsidR="00FC453E">
        <w:rPr>
          <w:rFonts w:ascii="Times New Roman" w:hAnsi="Times New Roman" w:cs="Times New Roman"/>
          <w:sz w:val="24"/>
          <w:szCs w:val="24"/>
        </w:rPr>
        <w:t xml:space="preserve"> un</w:t>
      </w:r>
      <w:r w:rsidRPr="00DD72A8">
        <w:rPr>
          <w:rFonts w:ascii="Times New Roman" w:hAnsi="Times New Roman" w:cs="Times New Roman"/>
          <w:sz w:val="24"/>
          <w:szCs w:val="24"/>
        </w:rPr>
        <w:t xml:space="preserve"> tādā veidā radot priekšnosacījumus uzņēmējdarbības attīstībai valstī un ekonomiski aktīvu uzņēmumu skaita palielināšanai.</w:t>
      </w:r>
    </w:p>
    <w:p w14:paraId="11193E52" w14:textId="01E4DCCD" w:rsidR="001A34F1" w:rsidRPr="00473DED" w:rsidRDefault="001A34F1" w:rsidP="001F2947">
      <w:pPr>
        <w:tabs>
          <w:tab w:val="left" w:pos="1134"/>
        </w:tabs>
        <w:spacing w:after="0" w:line="240" w:lineRule="auto"/>
        <w:ind w:firstLine="709"/>
        <w:jc w:val="both"/>
        <w:rPr>
          <w:rFonts w:ascii="Times New Roman" w:eastAsia="Times New Roman" w:hAnsi="Times New Roman" w:cs="Times New Roman"/>
          <w:sz w:val="24"/>
          <w:szCs w:val="24"/>
        </w:rPr>
      </w:pPr>
      <w:r w:rsidRPr="00473DED">
        <w:rPr>
          <w:rFonts w:ascii="Times New Roman" w:eastAsia="Times New Roman" w:hAnsi="Times New Roman" w:cs="Times New Roman"/>
          <w:sz w:val="24"/>
          <w:szCs w:val="24"/>
        </w:rPr>
        <w:t xml:space="preserve">Pirms samazinātās </w:t>
      </w:r>
      <w:r w:rsidR="00FC453E" w:rsidRPr="00473DED">
        <w:rPr>
          <w:rFonts w:ascii="Times New Roman" w:eastAsia="Times New Roman" w:hAnsi="Times New Roman" w:cs="Times New Roman"/>
          <w:sz w:val="24"/>
          <w:szCs w:val="24"/>
        </w:rPr>
        <w:t xml:space="preserve">PVN </w:t>
      </w:r>
      <w:r w:rsidRPr="00473DED">
        <w:rPr>
          <w:rFonts w:ascii="Times New Roman" w:eastAsia="Times New Roman" w:hAnsi="Times New Roman" w:cs="Times New Roman"/>
          <w:sz w:val="24"/>
          <w:szCs w:val="24"/>
        </w:rPr>
        <w:t>likmes ieviešanas</w:t>
      </w:r>
      <w:r w:rsidR="00FC453E">
        <w:rPr>
          <w:rFonts w:ascii="Times New Roman" w:eastAsia="Times New Roman" w:hAnsi="Times New Roman" w:cs="Times New Roman"/>
          <w:sz w:val="24"/>
          <w:szCs w:val="24"/>
        </w:rPr>
        <w:t xml:space="preserve"> tika</w:t>
      </w:r>
      <w:r w:rsidRPr="00473DED">
        <w:rPr>
          <w:rFonts w:ascii="Times New Roman" w:eastAsia="Times New Roman" w:hAnsi="Times New Roman" w:cs="Times New Roman"/>
          <w:sz w:val="24"/>
          <w:szCs w:val="24"/>
        </w:rPr>
        <w:t xml:space="preserve"> prognozēts, ka</w:t>
      </w:r>
      <w:r w:rsidR="00FC453E">
        <w:rPr>
          <w:rFonts w:ascii="Times New Roman" w:eastAsia="Times New Roman" w:hAnsi="Times New Roman" w:cs="Times New Roman"/>
          <w:sz w:val="24"/>
          <w:szCs w:val="24"/>
        </w:rPr>
        <w:t>,</w:t>
      </w:r>
      <w:r w:rsidRPr="00473DED">
        <w:rPr>
          <w:rFonts w:ascii="Times New Roman" w:eastAsia="Times New Roman" w:hAnsi="Times New Roman" w:cs="Times New Roman"/>
          <w:sz w:val="24"/>
          <w:szCs w:val="24"/>
        </w:rPr>
        <w:t xml:space="preserve"> </w:t>
      </w:r>
      <w:r w:rsidR="00FC453E">
        <w:rPr>
          <w:rFonts w:ascii="Times New Roman" w:eastAsia="Times New Roman" w:hAnsi="Times New Roman" w:cs="Times New Roman"/>
          <w:sz w:val="24"/>
          <w:szCs w:val="24"/>
        </w:rPr>
        <w:t>samazinot PVN likmi līdz 5 </w:t>
      </w:r>
      <w:r w:rsidR="00FC453E" w:rsidRPr="00473DED">
        <w:rPr>
          <w:rFonts w:ascii="Times New Roman" w:eastAsia="Times New Roman" w:hAnsi="Times New Roman" w:cs="Times New Roman"/>
          <w:sz w:val="24"/>
          <w:szCs w:val="24"/>
        </w:rPr>
        <w:t>%</w:t>
      </w:r>
      <w:r w:rsidR="00FC453E">
        <w:rPr>
          <w:rFonts w:ascii="Times New Roman" w:eastAsia="Times New Roman" w:hAnsi="Times New Roman" w:cs="Times New Roman"/>
          <w:sz w:val="24"/>
          <w:szCs w:val="24"/>
        </w:rPr>
        <w:t xml:space="preserve"> </w:t>
      </w:r>
      <w:r w:rsidRPr="00473DED">
        <w:rPr>
          <w:rFonts w:ascii="Times New Roman" w:eastAsia="Times New Roman" w:hAnsi="Times New Roman" w:cs="Times New Roman"/>
          <w:sz w:val="24"/>
          <w:szCs w:val="24"/>
        </w:rPr>
        <w:t>Latvijai raksturīgiem augļiem, ogām un dārzeņiem, būs iespējams panākt pozitīvu efektu, ievērojami mazinot uzņēmēju darbošanos ēnu ekonomikā, un palielināt to komersantu konkurētspēju, kuri darbojas legālajā tirgū. 2017.</w:t>
      </w:r>
      <w:r w:rsidR="00FC453E">
        <w:rPr>
          <w:rFonts w:ascii="Times New Roman" w:eastAsia="Times New Roman" w:hAnsi="Times New Roman" w:cs="Times New Roman"/>
          <w:sz w:val="24"/>
          <w:szCs w:val="24"/>
        </w:rPr>
        <w:t> </w:t>
      </w:r>
      <w:r w:rsidRPr="00473DED">
        <w:rPr>
          <w:rFonts w:ascii="Times New Roman" w:eastAsia="Times New Roman" w:hAnsi="Times New Roman" w:cs="Times New Roman"/>
          <w:sz w:val="24"/>
          <w:szCs w:val="24"/>
        </w:rPr>
        <w:t>gada informatīvajā ziņojumā norādīts, ka 2017.</w:t>
      </w:r>
      <w:r w:rsidR="00FC453E">
        <w:rPr>
          <w:rFonts w:ascii="Times New Roman" w:eastAsia="Times New Roman" w:hAnsi="Times New Roman" w:cs="Times New Roman"/>
          <w:sz w:val="24"/>
          <w:szCs w:val="24"/>
        </w:rPr>
        <w:t> </w:t>
      </w:r>
      <w:r w:rsidRPr="00473DED">
        <w:rPr>
          <w:rFonts w:ascii="Times New Roman" w:eastAsia="Times New Roman" w:hAnsi="Times New Roman" w:cs="Times New Roman"/>
          <w:sz w:val="24"/>
          <w:szCs w:val="24"/>
        </w:rPr>
        <w:t>gadā Latvijai raksturīgo augļu, ogu un dārzeņu produkcijas tirgus daļa, kurai piemēro PVN 21</w:t>
      </w:r>
      <w:r w:rsidR="00FC453E">
        <w:rPr>
          <w:rFonts w:ascii="Times New Roman" w:eastAsia="Times New Roman" w:hAnsi="Times New Roman" w:cs="Times New Roman"/>
          <w:sz w:val="24"/>
          <w:szCs w:val="24"/>
        </w:rPr>
        <w:t> </w:t>
      </w:r>
      <w:r w:rsidRPr="00473DED">
        <w:rPr>
          <w:rFonts w:ascii="Times New Roman" w:eastAsia="Times New Roman" w:hAnsi="Times New Roman" w:cs="Times New Roman"/>
          <w:sz w:val="24"/>
          <w:szCs w:val="24"/>
        </w:rPr>
        <w:t>% standartlikmi, ir apmēram 30 līdz 40</w:t>
      </w:r>
      <w:r w:rsidR="00FC453E">
        <w:rPr>
          <w:rFonts w:ascii="Times New Roman" w:eastAsia="Times New Roman" w:hAnsi="Times New Roman" w:cs="Times New Roman"/>
          <w:sz w:val="24"/>
          <w:szCs w:val="24"/>
        </w:rPr>
        <w:t> </w:t>
      </w:r>
      <w:r w:rsidRPr="00473DED">
        <w:rPr>
          <w:rFonts w:ascii="Times New Roman" w:eastAsia="Times New Roman" w:hAnsi="Times New Roman" w:cs="Times New Roman"/>
          <w:sz w:val="24"/>
          <w:szCs w:val="24"/>
        </w:rPr>
        <w:t xml:space="preserve">% no kopējā Latvijas tirgus. Savukārt, samazinot PVN likmi Latvijā raksturīgiem augļiem, ogām un dārzeņiem līdz 5 %, legālā augļu, ogu un dārzeņu tirdzniecība palielināsies par 20 %. </w:t>
      </w:r>
    </w:p>
    <w:p w14:paraId="62BECCD3" w14:textId="76A29FD6" w:rsidR="00B8244A" w:rsidRPr="00F83530" w:rsidRDefault="005A3C6B" w:rsidP="00F83530">
      <w:pPr>
        <w:pStyle w:val="ListParagraph"/>
        <w:tabs>
          <w:tab w:val="left" w:pos="1134"/>
        </w:tabs>
        <w:spacing w:after="0" w:line="240" w:lineRule="auto"/>
        <w:ind w:left="0" w:firstLine="709"/>
        <w:jc w:val="both"/>
        <w:rPr>
          <w:rFonts w:ascii="Times New Roman" w:eastAsia="Times New Roman" w:hAnsi="Times New Roman" w:cs="Times New Roman"/>
          <w:sz w:val="24"/>
          <w:szCs w:val="24"/>
        </w:rPr>
      </w:pPr>
      <w:r w:rsidRPr="00014425">
        <w:rPr>
          <w:rFonts w:ascii="Times New Roman" w:hAnsi="Times New Roman" w:cs="Times New Roman"/>
          <w:sz w:val="24"/>
          <w:szCs w:val="24"/>
        </w:rPr>
        <w:t xml:space="preserve">Tika </w:t>
      </w:r>
      <w:r w:rsidR="00014425" w:rsidRPr="00014425">
        <w:rPr>
          <w:rFonts w:ascii="Times New Roman" w:hAnsi="Times New Roman" w:cs="Times New Roman"/>
          <w:sz w:val="24"/>
          <w:szCs w:val="24"/>
        </w:rPr>
        <w:t>pieņemts, ka</w:t>
      </w:r>
      <w:r w:rsidRPr="00014425">
        <w:rPr>
          <w:rFonts w:ascii="Times New Roman" w:hAnsi="Times New Roman" w:cs="Times New Roman"/>
          <w:sz w:val="24"/>
          <w:szCs w:val="24"/>
        </w:rPr>
        <w:t xml:space="preserve"> </w:t>
      </w:r>
      <w:r w:rsidR="00E865ED" w:rsidRPr="00014425">
        <w:rPr>
          <w:rFonts w:ascii="Times New Roman" w:eastAsia="Times New Roman" w:hAnsi="Times New Roman" w:cs="Times New Roman"/>
          <w:sz w:val="24"/>
          <w:szCs w:val="24"/>
        </w:rPr>
        <w:t>līdz ar PVN likmes samazināšanu no 21 līdz 5 % daudzi negodīgie uzņēmēji izvēlēsies reģistrēt savus pārdošanas darījumus un maksāt PVN budžetā, jo starpība starp cenu ar PVN un cenu bez PVN</w:t>
      </w:r>
      <w:r w:rsidR="00E865ED" w:rsidRPr="001E1BA1">
        <w:rPr>
          <w:rFonts w:ascii="Times New Roman" w:eastAsia="Times New Roman" w:hAnsi="Times New Roman" w:cs="Times New Roman"/>
          <w:sz w:val="24"/>
          <w:szCs w:val="24"/>
        </w:rPr>
        <w:t xml:space="preserve"> būs salīdzinoši neliela, </w:t>
      </w:r>
      <w:r w:rsidR="00E865ED">
        <w:rPr>
          <w:rFonts w:ascii="Times New Roman" w:eastAsia="Times New Roman" w:hAnsi="Times New Roman" w:cs="Times New Roman"/>
          <w:sz w:val="24"/>
          <w:szCs w:val="24"/>
        </w:rPr>
        <w:t>tāpēc</w:t>
      </w:r>
      <w:r w:rsidR="00E865ED" w:rsidRPr="001E1BA1">
        <w:rPr>
          <w:rFonts w:ascii="Times New Roman" w:eastAsia="Times New Roman" w:hAnsi="Times New Roman" w:cs="Times New Roman"/>
          <w:sz w:val="24"/>
          <w:szCs w:val="24"/>
        </w:rPr>
        <w:t xml:space="preserve"> samazināsies uzņēmēju mot</w:t>
      </w:r>
      <w:r w:rsidR="00E865ED">
        <w:rPr>
          <w:rFonts w:ascii="Times New Roman" w:eastAsia="Times New Roman" w:hAnsi="Times New Roman" w:cs="Times New Roman"/>
          <w:sz w:val="24"/>
          <w:szCs w:val="24"/>
        </w:rPr>
        <w:t>ivācija riskēt un tikt sodītiem par PVN nemaksāšanu.</w:t>
      </w:r>
    </w:p>
    <w:p w14:paraId="7E6C6672" w14:textId="49BB5C16" w:rsidR="00B70A71" w:rsidRDefault="003E333A" w:rsidP="003E333A">
      <w:pPr>
        <w:autoSpaceDE w:val="0"/>
        <w:autoSpaceDN w:val="0"/>
        <w:adjustRightInd w:val="0"/>
        <w:spacing w:after="0" w:line="240" w:lineRule="auto"/>
        <w:ind w:firstLine="709"/>
        <w:jc w:val="both"/>
        <w:rPr>
          <w:rFonts w:ascii="MinionPro-Regular" w:hAnsi="MinionPro-Regular" w:cs="MinionPro-Regular"/>
          <w:sz w:val="24"/>
          <w:szCs w:val="24"/>
        </w:rPr>
      </w:pPr>
      <w:r w:rsidRPr="00F83530">
        <w:rPr>
          <w:rFonts w:ascii="MinionPro-Regular" w:hAnsi="MinionPro-Regular" w:cs="MinionPro-Regular"/>
          <w:sz w:val="24"/>
          <w:szCs w:val="24"/>
        </w:rPr>
        <w:t>Rīgas Ekonomikas augstskola</w:t>
      </w:r>
      <w:r w:rsidR="00DB5416" w:rsidRPr="00F83530">
        <w:rPr>
          <w:rFonts w:ascii="MinionPro-Regular" w:hAnsi="MinionPro-Regular" w:cs="MinionPro-Regular"/>
          <w:sz w:val="24"/>
          <w:szCs w:val="24"/>
        </w:rPr>
        <w:t>s</w:t>
      </w:r>
      <w:r w:rsidR="00D57FB3" w:rsidRPr="00F83530">
        <w:rPr>
          <w:rFonts w:ascii="MinionPro-Regular" w:hAnsi="MinionPro-Regular" w:cs="MinionPro-Regular"/>
          <w:sz w:val="24"/>
          <w:szCs w:val="24"/>
        </w:rPr>
        <w:t xml:space="preserve"> </w:t>
      </w:r>
      <w:r w:rsidR="00A44D6B" w:rsidRPr="00F83530">
        <w:rPr>
          <w:rFonts w:ascii="MinionPro-Regular" w:hAnsi="MinionPro-Regular" w:cs="MinionPro-Regular"/>
          <w:sz w:val="24"/>
          <w:szCs w:val="24"/>
        </w:rPr>
        <w:t>pētījuma “Ēnu ekonomikas indekss Baltijas valstīts” rezultāti</w:t>
      </w:r>
      <w:r w:rsidR="00A44D6B" w:rsidRPr="00F83530">
        <w:rPr>
          <w:rStyle w:val="FootnoteReference"/>
          <w:rFonts w:ascii="MinionPro-Regular" w:hAnsi="MinionPro-Regular" w:cs="MinionPro-Regular"/>
          <w:sz w:val="24"/>
          <w:szCs w:val="24"/>
        </w:rPr>
        <w:footnoteReference w:id="12"/>
      </w:r>
      <w:r w:rsidR="00A44D6B" w:rsidRPr="00F83530">
        <w:rPr>
          <w:rFonts w:ascii="MinionPro-Regular" w:hAnsi="MinionPro-Regular" w:cs="MinionPro-Regular"/>
          <w:sz w:val="24"/>
          <w:szCs w:val="24"/>
        </w:rPr>
        <w:t xml:space="preserve"> liecina</w:t>
      </w:r>
      <w:r w:rsidR="00D50FC6" w:rsidRPr="00F83530">
        <w:rPr>
          <w:rFonts w:ascii="MinionPro-Regular" w:hAnsi="MinionPro-Regular" w:cs="MinionPro-Regular"/>
          <w:sz w:val="24"/>
          <w:szCs w:val="24"/>
        </w:rPr>
        <w:t xml:space="preserve">, ka </w:t>
      </w:r>
      <w:r w:rsidR="00281110" w:rsidRPr="00F83530">
        <w:rPr>
          <w:rFonts w:ascii="MinionPro-Regular" w:hAnsi="MinionPro-Regular" w:cs="MinionPro-Regular"/>
          <w:sz w:val="24"/>
          <w:szCs w:val="24"/>
        </w:rPr>
        <w:t>atbilstoši ēnu ekonomikas indeksa aprēķiniem Baltijas valstīs kopš 2009.</w:t>
      </w:r>
      <w:r w:rsidR="005C3A3E" w:rsidRPr="00F83530">
        <w:rPr>
          <w:rFonts w:ascii="MinionPro-Regular" w:hAnsi="MinionPro-Regular" w:cs="MinionPro-Regular"/>
          <w:sz w:val="24"/>
          <w:szCs w:val="24"/>
        </w:rPr>
        <w:t> </w:t>
      </w:r>
      <w:r w:rsidR="00281110" w:rsidRPr="00F83530">
        <w:rPr>
          <w:rFonts w:ascii="MinionPro-Regular" w:hAnsi="MinionPro-Regular" w:cs="MinionPro-Regular"/>
          <w:sz w:val="24"/>
          <w:szCs w:val="24"/>
        </w:rPr>
        <w:t xml:space="preserve">gada </w:t>
      </w:r>
      <w:r w:rsidR="000C0045" w:rsidRPr="00F83530">
        <w:rPr>
          <w:rFonts w:ascii="MinionPro-Regular" w:hAnsi="MinionPro-Regular" w:cs="MinionPro-Regular"/>
          <w:sz w:val="24"/>
          <w:szCs w:val="24"/>
        </w:rPr>
        <w:t>ēnu ekonomikas apjoms Latvijā kopš 2016.</w:t>
      </w:r>
      <w:r w:rsidR="00644063">
        <w:rPr>
          <w:rFonts w:ascii="MinionPro-Regular" w:hAnsi="MinionPro-Regular" w:cs="MinionPro-Regular"/>
          <w:sz w:val="24"/>
          <w:szCs w:val="24"/>
        </w:rPr>
        <w:t> </w:t>
      </w:r>
      <w:r w:rsidR="000C0045" w:rsidRPr="00F83530">
        <w:rPr>
          <w:rFonts w:ascii="MinionPro-Regular" w:hAnsi="MinionPro-Regular" w:cs="MinionPro-Regular"/>
          <w:sz w:val="24"/>
          <w:szCs w:val="24"/>
        </w:rPr>
        <w:t xml:space="preserve">gada ar nelielu izņēmumu </w:t>
      </w:r>
      <w:r w:rsidR="00D85AF6" w:rsidRPr="00F83530">
        <w:rPr>
          <w:rFonts w:ascii="MinionPro-Regular" w:hAnsi="MinionPro-Regular" w:cs="MinionPro-Regular"/>
          <w:sz w:val="24"/>
          <w:szCs w:val="24"/>
        </w:rPr>
        <w:t>2019.</w:t>
      </w:r>
      <w:r w:rsidR="00644063">
        <w:rPr>
          <w:rFonts w:ascii="MinionPro-Regular" w:hAnsi="MinionPro-Regular" w:cs="MinionPro-Regular"/>
          <w:sz w:val="24"/>
          <w:szCs w:val="24"/>
        </w:rPr>
        <w:t> </w:t>
      </w:r>
      <w:r w:rsidR="00D85AF6" w:rsidRPr="00F83530">
        <w:rPr>
          <w:rFonts w:ascii="MinionPro-Regular" w:hAnsi="MinionPro-Regular" w:cs="MinionPro-Regular"/>
          <w:sz w:val="24"/>
          <w:szCs w:val="24"/>
        </w:rPr>
        <w:t>gadā</w:t>
      </w:r>
      <w:r w:rsidR="00A271B0" w:rsidRPr="00F83530">
        <w:rPr>
          <w:rFonts w:ascii="MinionPro-Regular" w:hAnsi="MinionPro-Regular" w:cs="MinionPro-Regular"/>
          <w:sz w:val="24"/>
          <w:szCs w:val="24"/>
        </w:rPr>
        <w:t xml:space="preserve"> ir </w:t>
      </w:r>
      <w:r w:rsidR="00FC453E">
        <w:rPr>
          <w:rFonts w:ascii="MinionPro-Regular" w:hAnsi="MinionPro-Regular" w:cs="MinionPro-Regular"/>
          <w:sz w:val="24"/>
          <w:szCs w:val="24"/>
        </w:rPr>
        <w:t>tikai palielinājies</w:t>
      </w:r>
      <w:r w:rsidR="00A271B0" w:rsidRPr="00F83530">
        <w:rPr>
          <w:rFonts w:ascii="MinionPro-Regular" w:hAnsi="MinionPro-Regular" w:cs="MinionPro-Regular"/>
          <w:sz w:val="24"/>
          <w:szCs w:val="24"/>
        </w:rPr>
        <w:t>: 20,7</w:t>
      </w:r>
      <w:r w:rsidR="00644063">
        <w:rPr>
          <w:rFonts w:ascii="MinionPro-Regular" w:hAnsi="MinionPro-Regular" w:cs="MinionPro-Regular"/>
          <w:sz w:val="24"/>
          <w:szCs w:val="24"/>
        </w:rPr>
        <w:t> </w:t>
      </w:r>
      <w:r w:rsidR="00A271B0" w:rsidRPr="00F83530">
        <w:rPr>
          <w:rFonts w:ascii="MinionPro-Regular" w:hAnsi="MinionPro-Regular" w:cs="MinionPro-Regular"/>
          <w:sz w:val="24"/>
          <w:szCs w:val="24"/>
        </w:rPr>
        <w:t>% no IKP 2016. gadā</w:t>
      </w:r>
      <w:r w:rsidR="00F04867" w:rsidRPr="00F83530">
        <w:rPr>
          <w:rFonts w:ascii="MinionPro-Regular" w:hAnsi="MinionPro-Regular" w:cs="MinionPro-Regular"/>
          <w:sz w:val="24"/>
          <w:szCs w:val="24"/>
        </w:rPr>
        <w:t>, 24,2</w:t>
      </w:r>
      <w:r w:rsidR="00644063">
        <w:rPr>
          <w:rFonts w:ascii="MinionPro-Regular" w:hAnsi="MinionPro-Regular" w:cs="MinionPro-Regular"/>
          <w:sz w:val="24"/>
          <w:szCs w:val="24"/>
        </w:rPr>
        <w:t> </w:t>
      </w:r>
      <w:r w:rsidR="00F04867" w:rsidRPr="00F83530">
        <w:rPr>
          <w:rFonts w:ascii="MinionPro-Regular" w:hAnsi="MinionPro-Regular" w:cs="MinionPro-Regular"/>
          <w:sz w:val="24"/>
          <w:szCs w:val="24"/>
        </w:rPr>
        <w:t>% no IKP 2018.</w:t>
      </w:r>
      <w:r w:rsidR="00644063">
        <w:rPr>
          <w:rFonts w:ascii="MinionPro-Regular" w:hAnsi="MinionPro-Regular" w:cs="MinionPro-Regular"/>
          <w:sz w:val="24"/>
          <w:szCs w:val="24"/>
        </w:rPr>
        <w:t> </w:t>
      </w:r>
      <w:r w:rsidR="00F04867" w:rsidRPr="00F83530">
        <w:rPr>
          <w:rFonts w:ascii="MinionPro-Regular" w:hAnsi="MinionPro-Regular" w:cs="MinionPro-Regular"/>
          <w:sz w:val="24"/>
          <w:szCs w:val="24"/>
        </w:rPr>
        <w:t>gadā</w:t>
      </w:r>
      <w:r w:rsidR="00FC453E">
        <w:rPr>
          <w:rFonts w:ascii="MinionPro-Regular" w:hAnsi="MinionPro-Regular" w:cs="MinionPro-Regular"/>
          <w:sz w:val="24"/>
          <w:szCs w:val="24"/>
        </w:rPr>
        <w:t xml:space="preserve"> un</w:t>
      </w:r>
      <w:r w:rsidR="00F04867" w:rsidRPr="00F83530">
        <w:rPr>
          <w:rFonts w:ascii="MinionPro-Regular" w:hAnsi="MinionPro-Regular" w:cs="MinionPro-Regular"/>
          <w:sz w:val="24"/>
          <w:szCs w:val="24"/>
        </w:rPr>
        <w:t xml:space="preserve"> 25,5</w:t>
      </w:r>
      <w:r w:rsidR="00644063">
        <w:rPr>
          <w:rFonts w:ascii="MinionPro-Regular" w:hAnsi="MinionPro-Regular" w:cs="MinionPro-Regular"/>
          <w:sz w:val="24"/>
          <w:szCs w:val="24"/>
        </w:rPr>
        <w:t> </w:t>
      </w:r>
      <w:r w:rsidR="00F04867" w:rsidRPr="00F83530">
        <w:rPr>
          <w:rFonts w:ascii="MinionPro-Regular" w:hAnsi="MinionPro-Regular" w:cs="MinionPro-Regular"/>
          <w:sz w:val="24"/>
          <w:szCs w:val="24"/>
        </w:rPr>
        <w:t>% no IKP 2020.</w:t>
      </w:r>
      <w:r w:rsidR="00644063">
        <w:rPr>
          <w:rFonts w:ascii="MinionPro-Regular" w:hAnsi="MinionPro-Regular" w:cs="MinionPro-Regular"/>
          <w:sz w:val="24"/>
          <w:szCs w:val="24"/>
        </w:rPr>
        <w:t> </w:t>
      </w:r>
      <w:r w:rsidR="00F04867" w:rsidRPr="00F83530">
        <w:rPr>
          <w:rFonts w:ascii="MinionPro-Regular" w:hAnsi="MinionPro-Regular" w:cs="MinionPro-Regular"/>
          <w:sz w:val="24"/>
          <w:szCs w:val="24"/>
        </w:rPr>
        <w:t>gadā. 2021.</w:t>
      </w:r>
      <w:r w:rsidR="00644063">
        <w:rPr>
          <w:rFonts w:ascii="MinionPro-Regular" w:hAnsi="MinionPro-Regular" w:cs="MinionPro-Regular"/>
          <w:sz w:val="24"/>
          <w:szCs w:val="24"/>
        </w:rPr>
        <w:t> </w:t>
      </w:r>
      <w:r w:rsidR="00F04867" w:rsidRPr="00F83530">
        <w:rPr>
          <w:rFonts w:ascii="MinionPro-Regular" w:hAnsi="MinionPro-Regular" w:cs="MinionPro-Regular"/>
          <w:sz w:val="24"/>
          <w:szCs w:val="24"/>
        </w:rPr>
        <w:t>gadā</w:t>
      </w:r>
      <w:r w:rsidR="00276FF6">
        <w:rPr>
          <w:rFonts w:ascii="MinionPro-Regular" w:hAnsi="MinionPro-Regular" w:cs="MinionPro-Regular"/>
          <w:sz w:val="24"/>
          <w:szCs w:val="24"/>
        </w:rPr>
        <w:t xml:space="preserve"> ēnu ekonomika </w:t>
      </w:r>
      <w:r w:rsidR="006A38BA">
        <w:rPr>
          <w:rFonts w:ascii="MinionPro-Regular" w:hAnsi="MinionPro-Regular" w:cs="MinionPro-Regular"/>
          <w:sz w:val="24"/>
          <w:szCs w:val="24"/>
        </w:rPr>
        <w:t>Latvijā</w:t>
      </w:r>
      <w:r w:rsidR="00276FF6">
        <w:rPr>
          <w:rFonts w:ascii="MinionPro-Regular" w:hAnsi="MinionPro-Regular" w:cs="MinionPro-Regular"/>
          <w:sz w:val="24"/>
          <w:szCs w:val="24"/>
        </w:rPr>
        <w:t xml:space="preserve"> p</w:t>
      </w:r>
      <w:r w:rsidR="00FC453E">
        <w:rPr>
          <w:rFonts w:ascii="MinionPro-Regular" w:hAnsi="MinionPro-Regular" w:cs="MinionPro-Regular"/>
          <w:sz w:val="24"/>
          <w:szCs w:val="24"/>
        </w:rPr>
        <w:t>alielinājās</w:t>
      </w:r>
      <w:r w:rsidR="00276FF6">
        <w:rPr>
          <w:rFonts w:ascii="MinionPro-Regular" w:hAnsi="MinionPro-Regular" w:cs="MinionPro-Regular"/>
          <w:sz w:val="24"/>
          <w:szCs w:val="24"/>
        </w:rPr>
        <w:t xml:space="preserve"> līdz 26,6</w:t>
      </w:r>
      <w:r w:rsidR="00644063">
        <w:rPr>
          <w:rFonts w:ascii="MinionPro-Regular" w:hAnsi="MinionPro-Regular" w:cs="MinionPro-Regular"/>
          <w:sz w:val="24"/>
          <w:szCs w:val="24"/>
        </w:rPr>
        <w:t> </w:t>
      </w:r>
      <w:r w:rsidR="00276FF6">
        <w:rPr>
          <w:rFonts w:ascii="MinionPro-Regular" w:hAnsi="MinionPro-Regular" w:cs="MinionPro-Regular"/>
          <w:sz w:val="24"/>
          <w:szCs w:val="24"/>
        </w:rPr>
        <w:t>% no IKP, bet 2022.</w:t>
      </w:r>
      <w:r w:rsidR="00644063">
        <w:rPr>
          <w:rFonts w:ascii="MinionPro-Regular" w:hAnsi="MinionPro-Regular" w:cs="MinionPro-Regular"/>
          <w:sz w:val="24"/>
          <w:szCs w:val="24"/>
        </w:rPr>
        <w:t> </w:t>
      </w:r>
      <w:r w:rsidR="00276FF6">
        <w:rPr>
          <w:rFonts w:ascii="MinionPro-Regular" w:hAnsi="MinionPro-Regular" w:cs="MinionPro-Regular"/>
          <w:sz w:val="24"/>
          <w:szCs w:val="24"/>
        </w:rPr>
        <w:t>gadā pavisam nedaudz samazinājās</w:t>
      </w:r>
      <w:r w:rsidR="00FC453E">
        <w:rPr>
          <w:rFonts w:ascii="MinionPro-Regular" w:hAnsi="MinionPro-Regular" w:cs="MinionPro-Regular"/>
          <w:sz w:val="24"/>
          <w:szCs w:val="24"/>
        </w:rPr>
        <w:t xml:space="preserve"> – līdz</w:t>
      </w:r>
      <w:r w:rsidR="00276FF6">
        <w:rPr>
          <w:rFonts w:ascii="MinionPro-Regular" w:hAnsi="MinionPro-Regular" w:cs="MinionPro-Regular"/>
          <w:sz w:val="24"/>
          <w:szCs w:val="24"/>
        </w:rPr>
        <w:t xml:space="preserve"> 26,5</w:t>
      </w:r>
      <w:r w:rsidR="00644063">
        <w:rPr>
          <w:rFonts w:ascii="MinionPro-Regular" w:hAnsi="MinionPro-Regular" w:cs="MinionPro-Regular"/>
          <w:sz w:val="24"/>
          <w:szCs w:val="24"/>
        </w:rPr>
        <w:t> </w:t>
      </w:r>
      <w:r w:rsidR="00276FF6">
        <w:rPr>
          <w:rFonts w:ascii="MinionPro-Regular" w:hAnsi="MinionPro-Regular" w:cs="MinionPro-Regular"/>
          <w:sz w:val="24"/>
          <w:szCs w:val="24"/>
        </w:rPr>
        <w:t>% no IKP.</w:t>
      </w:r>
    </w:p>
    <w:p w14:paraId="327FA6A9" w14:textId="2AF21503" w:rsidR="00D57FB3" w:rsidRPr="00644063" w:rsidRDefault="00E96D43" w:rsidP="003E333A">
      <w:pPr>
        <w:autoSpaceDE w:val="0"/>
        <w:autoSpaceDN w:val="0"/>
        <w:adjustRightInd w:val="0"/>
        <w:spacing w:after="0" w:line="240" w:lineRule="auto"/>
        <w:ind w:firstLine="709"/>
        <w:jc w:val="both"/>
        <w:rPr>
          <w:rFonts w:ascii="Times New Roman" w:hAnsi="Times New Roman" w:cs="Times New Roman"/>
          <w:sz w:val="24"/>
          <w:szCs w:val="24"/>
        </w:rPr>
      </w:pPr>
      <w:r w:rsidRPr="00644063">
        <w:rPr>
          <w:rFonts w:ascii="Times New Roman" w:hAnsi="Times New Roman" w:cs="Times New Roman"/>
          <w:sz w:val="24"/>
          <w:szCs w:val="24"/>
        </w:rPr>
        <w:t>Pētījuma “Ēnu ekonomikas indekss Baltijas valstīts” rezultāti liecina, ka Latvijā</w:t>
      </w:r>
      <w:r w:rsidR="00121EAB" w:rsidRPr="00644063">
        <w:rPr>
          <w:rFonts w:ascii="Times New Roman" w:hAnsi="Times New Roman" w:cs="Times New Roman"/>
          <w:sz w:val="24"/>
          <w:szCs w:val="24"/>
        </w:rPr>
        <w:t xml:space="preserve"> nozīmīgākā ēnu ekonomikas komponente 2022.</w:t>
      </w:r>
      <w:r w:rsidR="00644063">
        <w:rPr>
          <w:rFonts w:ascii="Times New Roman" w:hAnsi="Times New Roman" w:cs="Times New Roman"/>
          <w:sz w:val="24"/>
          <w:szCs w:val="24"/>
        </w:rPr>
        <w:t> </w:t>
      </w:r>
      <w:r w:rsidR="00121EAB" w:rsidRPr="00644063">
        <w:rPr>
          <w:rFonts w:ascii="Times New Roman" w:hAnsi="Times New Roman" w:cs="Times New Roman"/>
          <w:sz w:val="24"/>
          <w:szCs w:val="24"/>
        </w:rPr>
        <w:t>gadā bija aplokšņu algas, kas Latvijā veido 46,7 %</w:t>
      </w:r>
      <w:r w:rsidR="00B06B7C" w:rsidRPr="00644063">
        <w:rPr>
          <w:rFonts w:ascii="Times New Roman" w:hAnsi="Times New Roman" w:cs="Times New Roman"/>
          <w:sz w:val="24"/>
          <w:szCs w:val="24"/>
        </w:rPr>
        <w:t xml:space="preserve"> no kopējās ēnu ekonomikas. Neuzrādītie ieņēmumi Latvijā 2020.</w:t>
      </w:r>
      <w:r w:rsidR="00644063">
        <w:rPr>
          <w:rFonts w:ascii="Times New Roman" w:hAnsi="Times New Roman" w:cs="Times New Roman"/>
          <w:sz w:val="24"/>
          <w:szCs w:val="24"/>
        </w:rPr>
        <w:t> </w:t>
      </w:r>
      <w:r w:rsidR="00B06B7C" w:rsidRPr="00644063">
        <w:rPr>
          <w:rFonts w:ascii="Times New Roman" w:hAnsi="Times New Roman" w:cs="Times New Roman"/>
          <w:sz w:val="24"/>
          <w:szCs w:val="24"/>
        </w:rPr>
        <w:t>gadā veido 29</w:t>
      </w:r>
      <w:r w:rsidR="00644063">
        <w:rPr>
          <w:rFonts w:ascii="Times New Roman" w:hAnsi="Times New Roman" w:cs="Times New Roman"/>
          <w:sz w:val="24"/>
          <w:szCs w:val="24"/>
        </w:rPr>
        <w:t> </w:t>
      </w:r>
      <w:r w:rsidR="00B06B7C" w:rsidRPr="00644063">
        <w:rPr>
          <w:rFonts w:ascii="Times New Roman" w:hAnsi="Times New Roman" w:cs="Times New Roman"/>
          <w:sz w:val="24"/>
          <w:szCs w:val="24"/>
        </w:rPr>
        <w:t>% no kopējās ēnu ekonomikas</w:t>
      </w:r>
      <w:r w:rsidR="007B6A23" w:rsidRPr="00644063">
        <w:rPr>
          <w:rFonts w:ascii="Times New Roman" w:hAnsi="Times New Roman" w:cs="Times New Roman"/>
          <w:sz w:val="24"/>
          <w:szCs w:val="24"/>
        </w:rPr>
        <w:t xml:space="preserve">, bet neuzrādīto darbinieku </w:t>
      </w:r>
      <w:r w:rsidR="00FC453E">
        <w:rPr>
          <w:rFonts w:ascii="Times New Roman" w:hAnsi="Times New Roman" w:cs="Times New Roman"/>
          <w:sz w:val="24"/>
          <w:szCs w:val="24"/>
        </w:rPr>
        <w:t>skaits –</w:t>
      </w:r>
      <w:r w:rsidR="007B6A23" w:rsidRPr="00644063">
        <w:rPr>
          <w:rFonts w:ascii="Times New Roman" w:hAnsi="Times New Roman" w:cs="Times New Roman"/>
          <w:sz w:val="24"/>
          <w:szCs w:val="24"/>
        </w:rPr>
        <w:t xml:space="preserve"> 24,3</w:t>
      </w:r>
      <w:r w:rsidR="00644063">
        <w:rPr>
          <w:rFonts w:ascii="Times New Roman" w:hAnsi="Times New Roman" w:cs="Times New Roman"/>
          <w:sz w:val="24"/>
          <w:szCs w:val="24"/>
        </w:rPr>
        <w:t> </w:t>
      </w:r>
      <w:r w:rsidR="007B6A23" w:rsidRPr="00644063">
        <w:rPr>
          <w:rFonts w:ascii="Times New Roman" w:hAnsi="Times New Roman" w:cs="Times New Roman"/>
          <w:sz w:val="24"/>
          <w:szCs w:val="24"/>
        </w:rPr>
        <w:t>%.</w:t>
      </w:r>
      <w:r w:rsidR="008D5C4A" w:rsidRPr="00644063">
        <w:rPr>
          <w:rFonts w:ascii="Times New Roman" w:hAnsi="Times New Roman" w:cs="Times New Roman"/>
          <w:sz w:val="24"/>
          <w:szCs w:val="24"/>
        </w:rPr>
        <w:t xml:space="preserve"> Vidējā ie</w:t>
      </w:r>
      <w:r w:rsidR="00971123" w:rsidRPr="00644063">
        <w:rPr>
          <w:rFonts w:ascii="Times New Roman" w:hAnsi="Times New Roman" w:cs="Times New Roman"/>
          <w:sz w:val="24"/>
          <w:szCs w:val="24"/>
        </w:rPr>
        <w:t>nākumu</w:t>
      </w:r>
      <w:r w:rsidR="008D5C4A" w:rsidRPr="00644063">
        <w:rPr>
          <w:rFonts w:ascii="Times New Roman" w:hAnsi="Times New Roman" w:cs="Times New Roman"/>
          <w:sz w:val="24"/>
          <w:szCs w:val="24"/>
        </w:rPr>
        <w:t xml:space="preserve"> daļa (%)</w:t>
      </w:r>
      <w:r w:rsidR="00971123" w:rsidRPr="00644063">
        <w:rPr>
          <w:rFonts w:ascii="Times New Roman" w:hAnsi="Times New Roman" w:cs="Times New Roman"/>
          <w:sz w:val="24"/>
          <w:szCs w:val="24"/>
        </w:rPr>
        <w:t>, ko uzņēmēji slēpj</w:t>
      </w:r>
      <w:r w:rsidR="00644063">
        <w:rPr>
          <w:rFonts w:ascii="Times New Roman" w:hAnsi="Times New Roman" w:cs="Times New Roman"/>
          <w:sz w:val="24"/>
          <w:szCs w:val="24"/>
        </w:rPr>
        <w:t xml:space="preserve"> </w:t>
      </w:r>
      <w:r w:rsidR="00971123" w:rsidRPr="00644063">
        <w:rPr>
          <w:rFonts w:ascii="Times New Roman" w:hAnsi="Times New Roman" w:cs="Times New Roman"/>
          <w:sz w:val="24"/>
          <w:szCs w:val="24"/>
        </w:rPr>
        <w:t>no valsts</w:t>
      </w:r>
      <w:r w:rsidR="00FC453E">
        <w:rPr>
          <w:rFonts w:ascii="Times New Roman" w:hAnsi="Times New Roman" w:cs="Times New Roman"/>
          <w:sz w:val="24"/>
          <w:szCs w:val="24"/>
        </w:rPr>
        <w:t>,</w:t>
      </w:r>
      <w:r w:rsidR="00971123" w:rsidRPr="00644063">
        <w:rPr>
          <w:rFonts w:ascii="Times New Roman" w:hAnsi="Times New Roman" w:cs="Times New Roman"/>
          <w:sz w:val="24"/>
          <w:szCs w:val="24"/>
        </w:rPr>
        <w:t xml:space="preserve"> 2022.</w:t>
      </w:r>
      <w:r w:rsidR="00644063">
        <w:rPr>
          <w:rFonts w:ascii="Times New Roman" w:hAnsi="Times New Roman" w:cs="Times New Roman"/>
          <w:sz w:val="24"/>
          <w:szCs w:val="24"/>
        </w:rPr>
        <w:t> </w:t>
      </w:r>
      <w:r w:rsidR="00971123" w:rsidRPr="00644063">
        <w:rPr>
          <w:rFonts w:ascii="Times New Roman" w:hAnsi="Times New Roman" w:cs="Times New Roman"/>
          <w:sz w:val="24"/>
          <w:szCs w:val="24"/>
        </w:rPr>
        <w:t>gadā Latvijā bija 16,</w:t>
      </w:r>
      <w:r w:rsidR="00205D3D" w:rsidRPr="00644063">
        <w:rPr>
          <w:rFonts w:ascii="Times New Roman" w:hAnsi="Times New Roman" w:cs="Times New Roman"/>
          <w:sz w:val="24"/>
          <w:szCs w:val="24"/>
        </w:rPr>
        <w:t>3</w:t>
      </w:r>
      <w:r w:rsidR="00644063">
        <w:rPr>
          <w:rFonts w:ascii="Times New Roman" w:hAnsi="Times New Roman" w:cs="Times New Roman"/>
          <w:sz w:val="24"/>
          <w:szCs w:val="24"/>
        </w:rPr>
        <w:t> </w:t>
      </w:r>
      <w:r w:rsidR="00205D3D" w:rsidRPr="00644063">
        <w:rPr>
          <w:rFonts w:ascii="Times New Roman" w:hAnsi="Times New Roman" w:cs="Times New Roman"/>
          <w:sz w:val="24"/>
          <w:szCs w:val="24"/>
        </w:rPr>
        <w:t>% (samazinājums par 2,3</w:t>
      </w:r>
      <w:r w:rsidR="00FC453E">
        <w:rPr>
          <w:rFonts w:ascii="Times New Roman" w:hAnsi="Times New Roman" w:cs="Times New Roman"/>
          <w:sz w:val="24"/>
          <w:szCs w:val="24"/>
        </w:rPr>
        <w:t> </w:t>
      </w:r>
      <w:r w:rsidR="00205D3D" w:rsidRPr="00644063">
        <w:rPr>
          <w:rFonts w:ascii="Times New Roman" w:hAnsi="Times New Roman" w:cs="Times New Roman"/>
          <w:sz w:val="24"/>
          <w:szCs w:val="24"/>
        </w:rPr>
        <w:t>procentpunktiem</w:t>
      </w:r>
      <w:r w:rsidR="00FC453E">
        <w:rPr>
          <w:rFonts w:ascii="Times New Roman" w:hAnsi="Times New Roman" w:cs="Times New Roman"/>
          <w:sz w:val="24"/>
          <w:szCs w:val="24"/>
        </w:rPr>
        <w:t>)</w:t>
      </w:r>
      <w:r w:rsidR="00205D3D" w:rsidRPr="00644063">
        <w:rPr>
          <w:rFonts w:ascii="Times New Roman" w:hAnsi="Times New Roman" w:cs="Times New Roman"/>
          <w:sz w:val="24"/>
          <w:szCs w:val="24"/>
        </w:rPr>
        <w:t>.</w:t>
      </w:r>
      <w:r w:rsidR="00AF3939">
        <w:rPr>
          <w:rFonts w:ascii="Times New Roman" w:hAnsi="Times New Roman" w:cs="Times New Roman"/>
          <w:sz w:val="24"/>
          <w:szCs w:val="24"/>
        </w:rPr>
        <w:t xml:space="preserve"> </w:t>
      </w:r>
    </w:p>
    <w:p w14:paraId="1295F9E7" w14:textId="15373246" w:rsidR="007B6A23" w:rsidRDefault="00C227DB" w:rsidP="003E333A">
      <w:pPr>
        <w:autoSpaceDE w:val="0"/>
        <w:autoSpaceDN w:val="0"/>
        <w:adjustRightInd w:val="0"/>
        <w:spacing w:after="0" w:line="240" w:lineRule="auto"/>
        <w:ind w:firstLine="709"/>
        <w:jc w:val="both"/>
        <w:rPr>
          <w:rFonts w:ascii="Times New Roman" w:hAnsi="Times New Roman" w:cs="Times New Roman"/>
          <w:sz w:val="24"/>
          <w:szCs w:val="24"/>
        </w:rPr>
      </w:pPr>
      <w:r w:rsidRPr="00644063">
        <w:rPr>
          <w:rFonts w:ascii="Times New Roman" w:hAnsi="Times New Roman" w:cs="Times New Roman"/>
          <w:sz w:val="24"/>
          <w:szCs w:val="24"/>
        </w:rPr>
        <w:t xml:space="preserve">Pētījuma “Ēnu ekonomikas indekss Baltijas valstīts” autori </w:t>
      </w:r>
      <w:r w:rsidR="00522391" w:rsidRPr="00644063">
        <w:rPr>
          <w:rFonts w:ascii="Times New Roman" w:hAnsi="Times New Roman" w:cs="Times New Roman"/>
          <w:sz w:val="24"/>
          <w:szCs w:val="24"/>
        </w:rPr>
        <w:t>aprēķinājuši arī nereģistrētās uzņēmējdarbības rādītāju</w:t>
      </w:r>
      <w:r w:rsidR="00844361">
        <w:rPr>
          <w:rFonts w:ascii="Times New Roman" w:hAnsi="Times New Roman" w:cs="Times New Roman"/>
          <w:sz w:val="24"/>
          <w:szCs w:val="24"/>
        </w:rPr>
        <w:t>: pēc</w:t>
      </w:r>
      <w:r w:rsidR="00522391" w:rsidRPr="00644063">
        <w:rPr>
          <w:rFonts w:ascii="Times New Roman" w:hAnsi="Times New Roman" w:cs="Times New Roman"/>
          <w:sz w:val="24"/>
          <w:szCs w:val="24"/>
        </w:rPr>
        <w:t xml:space="preserve"> aplēsēm</w:t>
      </w:r>
      <w:r w:rsidR="00844361">
        <w:rPr>
          <w:rFonts w:ascii="Times New Roman" w:hAnsi="Times New Roman" w:cs="Times New Roman"/>
          <w:sz w:val="24"/>
          <w:szCs w:val="24"/>
        </w:rPr>
        <w:t>,</w:t>
      </w:r>
      <w:r w:rsidR="00522391" w:rsidRPr="00644063">
        <w:rPr>
          <w:rFonts w:ascii="Times New Roman" w:hAnsi="Times New Roman" w:cs="Times New Roman"/>
          <w:sz w:val="24"/>
          <w:szCs w:val="24"/>
        </w:rPr>
        <w:t xml:space="preserve"> </w:t>
      </w:r>
      <w:r w:rsidR="00844361">
        <w:rPr>
          <w:rFonts w:ascii="Times New Roman" w:hAnsi="Times New Roman" w:cs="Times New Roman"/>
          <w:sz w:val="24"/>
          <w:szCs w:val="24"/>
        </w:rPr>
        <w:t>nereģistrēto uzņēmēju piedāvāto</w:t>
      </w:r>
      <w:r w:rsidR="00844361" w:rsidRPr="00644063">
        <w:rPr>
          <w:rFonts w:ascii="Times New Roman" w:hAnsi="Times New Roman" w:cs="Times New Roman"/>
          <w:sz w:val="24"/>
          <w:szCs w:val="24"/>
        </w:rPr>
        <w:t xml:space="preserve"> </w:t>
      </w:r>
      <w:r w:rsidR="00522391" w:rsidRPr="00644063">
        <w:rPr>
          <w:rFonts w:ascii="Times New Roman" w:hAnsi="Times New Roman" w:cs="Times New Roman"/>
          <w:sz w:val="24"/>
          <w:szCs w:val="24"/>
        </w:rPr>
        <w:t>preču vai pakalpojumu daudzums no kopējā apjoma Latvijā 2022.</w:t>
      </w:r>
      <w:r w:rsidR="00844361">
        <w:rPr>
          <w:rFonts w:ascii="Times New Roman" w:hAnsi="Times New Roman" w:cs="Times New Roman"/>
          <w:sz w:val="24"/>
          <w:szCs w:val="24"/>
        </w:rPr>
        <w:t xml:space="preserve"> </w:t>
      </w:r>
      <w:r w:rsidR="00522391" w:rsidRPr="00644063">
        <w:rPr>
          <w:rFonts w:ascii="Times New Roman" w:hAnsi="Times New Roman" w:cs="Times New Roman"/>
          <w:sz w:val="24"/>
          <w:szCs w:val="24"/>
        </w:rPr>
        <w:t>gadā bija 8,5 %.</w:t>
      </w:r>
      <w:r w:rsidR="00AF3939">
        <w:rPr>
          <w:rFonts w:ascii="Times New Roman" w:hAnsi="Times New Roman" w:cs="Times New Roman"/>
          <w:sz w:val="24"/>
          <w:szCs w:val="24"/>
        </w:rPr>
        <w:t xml:space="preserve"> Arī </w:t>
      </w:r>
      <w:r w:rsidR="00597187">
        <w:rPr>
          <w:rFonts w:ascii="Times New Roman" w:hAnsi="Times New Roman" w:cs="Times New Roman"/>
          <w:sz w:val="24"/>
          <w:szCs w:val="24"/>
        </w:rPr>
        <w:t>darbinieku</w:t>
      </w:r>
      <w:r w:rsidR="00AF3939">
        <w:rPr>
          <w:rFonts w:ascii="Times New Roman" w:hAnsi="Times New Roman" w:cs="Times New Roman"/>
          <w:sz w:val="24"/>
          <w:szCs w:val="24"/>
        </w:rPr>
        <w:t xml:space="preserve"> neuzrādīšanas apjoms 2022.</w:t>
      </w:r>
      <w:r w:rsidR="00844361">
        <w:rPr>
          <w:rFonts w:ascii="Times New Roman" w:hAnsi="Times New Roman" w:cs="Times New Roman"/>
          <w:sz w:val="24"/>
          <w:szCs w:val="24"/>
        </w:rPr>
        <w:t xml:space="preserve"> </w:t>
      </w:r>
      <w:r w:rsidR="00AF3939">
        <w:rPr>
          <w:rFonts w:ascii="Times New Roman" w:hAnsi="Times New Roman" w:cs="Times New Roman"/>
          <w:sz w:val="24"/>
          <w:szCs w:val="24"/>
        </w:rPr>
        <w:t>gadā</w:t>
      </w:r>
      <w:r w:rsidR="003C395F">
        <w:rPr>
          <w:rFonts w:ascii="Times New Roman" w:hAnsi="Times New Roman" w:cs="Times New Roman"/>
          <w:sz w:val="24"/>
          <w:szCs w:val="24"/>
        </w:rPr>
        <w:t xml:space="preserve"> salīdzin</w:t>
      </w:r>
      <w:r w:rsidR="00844361">
        <w:rPr>
          <w:rFonts w:ascii="Times New Roman" w:hAnsi="Times New Roman" w:cs="Times New Roman"/>
          <w:sz w:val="24"/>
          <w:szCs w:val="24"/>
        </w:rPr>
        <w:t>ājumā</w:t>
      </w:r>
      <w:r w:rsidR="003C395F">
        <w:rPr>
          <w:rFonts w:ascii="Times New Roman" w:hAnsi="Times New Roman" w:cs="Times New Roman"/>
          <w:sz w:val="24"/>
          <w:szCs w:val="24"/>
        </w:rPr>
        <w:t xml:space="preserve"> ar 2021. gadu Latvijā ir p</w:t>
      </w:r>
      <w:r w:rsidR="00844361">
        <w:rPr>
          <w:rFonts w:ascii="Times New Roman" w:hAnsi="Times New Roman" w:cs="Times New Roman"/>
          <w:sz w:val="24"/>
          <w:szCs w:val="24"/>
        </w:rPr>
        <w:t>alielinājies</w:t>
      </w:r>
      <w:r w:rsidR="003C395F">
        <w:rPr>
          <w:rFonts w:ascii="Times New Roman" w:hAnsi="Times New Roman" w:cs="Times New Roman"/>
          <w:sz w:val="24"/>
          <w:szCs w:val="24"/>
        </w:rPr>
        <w:t xml:space="preserve"> </w:t>
      </w:r>
      <w:r w:rsidR="00597187">
        <w:rPr>
          <w:rFonts w:ascii="Times New Roman" w:hAnsi="Times New Roman" w:cs="Times New Roman"/>
          <w:sz w:val="24"/>
          <w:szCs w:val="24"/>
        </w:rPr>
        <w:t>nedaudz</w:t>
      </w:r>
      <w:r w:rsidR="00844361">
        <w:rPr>
          <w:rFonts w:ascii="Times New Roman" w:hAnsi="Times New Roman" w:cs="Times New Roman"/>
          <w:sz w:val="24"/>
          <w:szCs w:val="24"/>
        </w:rPr>
        <w:t> </w:t>
      </w:r>
      <w:r w:rsidR="003C395F">
        <w:rPr>
          <w:rFonts w:ascii="Times New Roman" w:hAnsi="Times New Roman" w:cs="Times New Roman"/>
          <w:sz w:val="24"/>
          <w:szCs w:val="24"/>
        </w:rPr>
        <w:t xml:space="preserve">– par 0,4 </w:t>
      </w:r>
      <w:r w:rsidR="00597187">
        <w:rPr>
          <w:rFonts w:ascii="Times New Roman" w:hAnsi="Times New Roman" w:cs="Times New Roman"/>
          <w:sz w:val="24"/>
          <w:szCs w:val="24"/>
        </w:rPr>
        <w:t>procentpunktiem</w:t>
      </w:r>
      <w:r w:rsidR="003C395F">
        <w:rPr>
          <w:rFonts w:ascii="Times New Roman" w:hAnsi="Times New Roman" w:cs="Times New Roman"/>
          <w:sz w:val="24"/>
          <w:szCs w:val="24"/>
        </w:rPr>
        <w:t>, sasniedzot 11,1 %.</w:t>
      </w:r>
    </w:p>
    <w:p w14:paraId="5624C797" w14:textId="7AD2CDA5" w:rsidR="00496CF6" w:rsidRPr="00644063" w:rsidRDefault="00496CF6" w:rsidP="003E333A">
      <w:pPr>
        <w:autoSpaceDE w:val="0"/>
        <w:autoSpaceDN w:val="0"/>
        <w:adjustRightInd w:val="0"/>
        <w:spacing w:after="0" w:line="240" w:lineRule="auto"/>
        <w:ind w:firstLine="709"/>
        <w:jc w:val="both"/>
        <w:rPr>
          <w:rFonts w:ascii="Times New Roman" w:hAnsi="Times New Roman" w:cs="Times New Roman"/>
          <w:sz w:val="24"/>
          <w:szCs w:val="24"/>
        </w:rPr>
      </w:pPr>
      <w:r w:rsidRPr="00644063">
        <w:rPr>
          <w:rFonts w:ascii="Times New Roman" w:hAnsi="Times New Roman" w:cs="Times New Roman"/>
          <w:sz w:val="24"/>
          <w:szCs w:val="24"/>
        </w:rPr>
        <w:t>Pētījuma “Ēnu ekonomikas indekss Baltijas valstīts” autori</w:t>
      </w:r>
      <w:r>
        <w:rPr>
          <w:rFonts w:ascii="Times New Roman" w:hAnsi="Times New Roman" w:cs="Times New Roman"/>
          <w:sz w:val="24"/>
          <w:szCs w:val="24"/>
        </w:rPr>
        <w:t xml:space="preserve"> ir secinājuši, ka joprojām visaugstākais ēnu ekonomikas īpatsvars Latvijā nozaru vērtējumā ir </w:t>
      </w:r>
      <w:r w:rsidR="001107EC">
        <w:rPr>
          <w:rFonts w:ascii="Times New Roman" w:hAnsi="Times New Roman" w:cs="Times New Roman"/>
          <w:sz w:val="24"/>
          <w:szCs w:val="24"/>
        </w:rPr>
        <w:t>būvniecības nozarē – 34,5 %, kurā tas salīdzinājumā ar 2021.</w:t>
      </w:r>
      <w:r w:rsidR="00844361">
        <w:rPr>
          <w:rFonts w:ascii="Times New Roman" w:hAnsi="Times New Roman" w:cs="Times New Roman"/>
          <w:sz w:val="24"/>
          <w:szCs w:val="24"/>
        </w:rPr>
        <w:t xml:space="preserve"> </w:t>
      </w:r>
      <w:r w:rsidR="001107EC">
        <w:rPr>
          <w:rFonts w:ascii="Times New Roman" w:hAnsi="Times New Roman" w:cs="Times New Roman"/>
          <w:sz w:val="24"/>
          <w:szCs w:val="24"/>
        </w:rPr>
        <w:t xml:space="preserve">gadu ir palielinājies par </w:t>
      </w:r>
      <w:r w:rsidR="009B73DA">
        <w:rPr>
          <w:rFonts w:ascii="Times New Roman" w:hAnsi="Times New Roman" w:cs="Times New Roman"/>
          <w:sz w:val="24"/>
          <w:szCs w:val="24"/>
        </w:rPr>
        <w:t>3,3 procentpunktiem.</w:t>
      </w:r>
      <w:r w:rsidR="00963511">
        <w:rPr>
          <w:rFonts w:ascii="Times New Roman" w:hAnsi="Times New Roman" w:cs="Times New Roman"/>
          <w:sz w:val="24"/>
          <w:szCs w:val="24"/>
        </w:rPr>
        <w:t xml:space="preserve"> </w:t>
      </w:r>
      <w:r w:rsidR="00844361">
        <w:rPr>
          <w:rFonts w:ascii="Times New Roman" w:hAnsi="Times New Roman" w:cs="Times New Roman"/>
          <w:sz w:val="24"/>
          <w:szCs w:val="24"/>
        </w:rPr>
        <w:t>Salīdzinājumā ar 2021. gadu 2022. gadā ē</w:t>
      </w:r>
      <w:r w:rsidR="00963511">
        <w:rPr>
          <w:rFonts w:ascii="Times New Roman" w:hAnsi="Times New Roman" w:cs="Times New Roman"/>
          <w:sz w:val="24"/>
          <w:szCs w:val="24"/>
        </w:rPr>
        <w:t xml:space="preserve">nu ekonomikas </w:t>
      </w:r>
      <w:r w:rsidR="00844361">
        <w:rPr>
          <w:rFonts w:ascii="Times New Roman" w:hAnsi="Times New Roman" w:cs="Times New Roman"/>
          <w:sz w:val="24"/>
          <w:szCs w:val="24"/>
        </w:rPr>
        <w:t>īpatsvars</w:t>
      </w:r>
      <w:r w:rsidR="00963511">
        <w:rPr>
          <w:rFonts w:ascii="Times New Roman" w:hAnsi="Times New Roman" w:cs="Times New Roman"/>
          <w:sz w:val="24"/>
          <w:szCs w:val="24"/>
        </w:rPr>
        <w:t xml:space="preserve"> mazumtirdzniecībā Latvijā ir palielinājies par </w:t>
      </w:r>
      <w:r w:rsidR="00921925">
        <w:rPr>
          <w:rFonts w:ascii="Times New Roman" w:hAnsi="Times New Roman" w:cs="Times New Roman"/>
          <w:sz w:val="24"/>
          <w:szCs w:val="24"/>
        </w:rPr>
        <w:t xml:space="preserve">0,7 procentpunktiem, sasniedzot </w:t>
      </w:r>
      <w:r w:rsidR="0003731B">
        <w:rPr>
          <w:rFonts w:ascii="Times New Roman" w:hAnsi="Times New Roman" w:cs="Times New Roman"/>
          <w:sz w:val="24"/>
          <w:szCs w:val="24"/>
        </w:rPr>
        <w:t xml:space="preserve">30,5 %, </w:t>
      </w:r>
      <w:r w:rsidR="00844361">
        <w:rPr>
          <w:rFonts w:ascii="Times New Roman" w:hAnsi="Times New Roman" w:cs="Times New Roman"/>
          <w:sz w:val="24"/>
          <w:szCs w:val="24"/>
        </w:rPr>
        <w:t>un</w:t>
      </w:r>
      <w:r w:rsidR="0003731B">
        <w:rPr>
          <w:rFonts w:ascii="Times New Roman" w:hAnsi="Times New Roman" w:cs="Times New Roman"/>
          <w:sz w:val="24"/>
          <w:szCs w:val="24"/>
        </w:rPr>
        <w:t xml:space="preserve"> pakalpojumu sektorā </w:t>
      </w:r>
      <w:r w:rsidR="00844361">
        <w:rPr>
          <w:rFonts w:ascii="Times New Roman" w:hAnsi="Times New Roman" w:cs="Times New Roman"/>
          <w:sz w:val="24"/>
          <w:szCs w:val="24"/>
        </w:rPr>
        <w:t xml:space="preserve">– </w:t>
      </w:r>
      <w:r w:rsidR="009C5E90">
        <w:rPr>
          <w:rFonts w:ascii="Times New Roman" w:hAnsi="Times New Roman" w:cs="Times New Roman"/>
          <w:sz w:val="24"/>
          <w:szCs w:val="24"/>
        </w:rPr>
        <w:t>par 1,1</w:t>
      </w:r>
      <w:r w:rsidR="00844361">
        <w:rPr>
          <w:rFonts w:ascii="Times New Roman" w:hAnsi="Times New Roman" w:cs="Times New Roman"/>
          <w:sz w:val="24"/>
          <w:szCs w:val="24"/>
        </w:rPr>
        <w:t> </w:t>
      </w:r>
      <w:r w:rsidR="009C5E90">
        <w:rPr>
          <w:rFonts w:ascii="Times New Roman" w:hAnsi="Times New Roman" w:cs="Times New Roman"/>
          <w:sz w:val="24"/>
          <w:szCs w:val="24"/>
        </w:rPr>
        <w:t xml:space="preserve">procentpunktu, sasniedzot </w:t>
      </w:r>
      <w:r w:rsidR="00045B1B">
        <w:rPr>
          <w:rFonts w:ascii="Times New Roman" w:hAnsi="Times New Roman" w:cs="Times New Roman"/>
          <w:sz w:val="24"/>
          <w:szCs w:val="24"/>
        </w:rPr>
        <w:t>28,6</w:t>
      </w:r>
      <w:r w:rsidR="00844361">
        <w:rPr>
          <w:rFonts w:ascii="Times New Roman" w:hAnsi="Times New Roman" w:cs="Times New Roman"/>
          <w:sz w:val="24"/>
          <w:szCs w:val="24"/>
        </w:rPr>
        <w:t xml:space="preserve"> </w:t>
      </w:r>
      <w:r w:rsidR="00045B1B">
        <w:rPr>
          <w:rFonts w:ascii="Times New Roman" w:hAnsi="Times New Roman" w:cs="Times New Roman"/>
          <w:sz w:val="24"/>
          <w:szCs w:val="24"/>
        </w:rPr>
        <w:t>%. Savukār</w:t>
      </w:r>
      <w:r w:rsidR="00805A08">
        <w:rPr>
          <w:rFonts w:ascii="Times New Roman" w:hAnsi="Times New Roman" w:cs="Times New Roman"/>
          <w:sz w:val="24"/>
          <w:szCs w:val="24"/>
        </w:rPr>
        <w:t>t</w:t>
      </w:r>
      <w:r w:rsidR="00045B1B">
        <w:rPr>
          <w:rFonts w:ascii="Times New Roman" w:hAnsi="Times New Roman" w:cs="Times New Roman"/>
          <w:sz w:val="24"/>
          <w:szCs w:val="24"/>
        </w:rPr>
        <w:t xml:space="preserve"> ēnu ekonomikas īpatsvara samazināšanas</w:t>
      </w:r>
      <w:r w:rsidR="00805A08">
        <w:rPr>
          <w:rFonts w:ascii="Times New Roman" w:hAnsi="Times New Roman" w:cs="Times New Roman"/>
          <w:sz w:val="24"/>
          <w:szCs w:val="24"/>
        </w:rPr>
        <w:t xml:space="preserve"> 2022.</w:t>
      </w:r>
      <w:r w:rsidR="00844361">
        <w:rPr>
          <w:rFonts w:ascii="Times New Roman" w:hAnsi="Times New Roman" w:cs="Times New Roman"/>
          <w:sz w:val="24"/>
          <w:szCs w:val="24"/>
        </w:rPr>
        <w:t> </w:t>
      </w:r>
      <w:r w:rsidR="00805A08">
        <w:rPr>
          <w:rFonts w:ascii="Times New Roman" w:hAnsi="Times New Roman" w:cs="Times New Roman"/>
          <w:sz w:val="24"/>
          <w:szCs w:val="24"/>
        </w:rPr>
        <w:t>gadā salīdzinājumā ar 2021.</w:t>
      </w:r>
      <w:r w:rsidR="00844361">
        <w:rPr>
          <w:rFonts w:ascii="Times New Roman" w:hAnsi="Times New Roman" w:cs="Times New Roman"/>
          <w:sz w:val="24"/>
          <w:szCs w:val="24"/>
        </w:rPr>
        <w:t xml:space="preserve"> </w:t>
      </w:r>
      <w:r w:rsidR="00805A08">
        <w:rPr>
          <w:rFonts w:ascii="Times New Roman" w:hAnsi="Times New Roman" w:cs="Times New Roman"/>
          <w:sz w:val="24"/>
          <w:szCs w:val="24"/>
        </w:rPr>
        <w:t>gadu</w:t>
      </w:r>
      <w:r w:rsidR="00045B1B">
        <w:rPr>
          <w:rFonts w:ascii="Times New Roman" w:hAnsi="Times New Roman" w:cs="Times New Roman"/>
          <w:sz w:val="24"/>
          <w:szCs w:val="24"/>
        </w:rPr>
        <w:t xml:space="preserve"> ir novērojama ražošanā – par </w:t>
      </w:r>
      <w:r w:rsidR="00805A08">
        <w:rPr>
          <w:rFonts w:ascii="Times New Roman" w:hAnsi="Times New Roman" w:cs="Times New Roman"/>
          <w:sz w:val="24"/>
          <w:szCs w:val="24"/>
        </w:rPr>
        <w:t>1,1</w:t>
      </w:r>
      <w:r w:rsidR="00844361">
        <w:rPr>
          <w:rFonts w:ascii="Times New Roman" w:hAnsi="Times New Roman" w:cs="Times New Roman"/>
          <w:sz w:val="24"/>
          <w:szCs w:val="24"/>
        </w:rPr>
        <w:t> </w:t>
      </w:r>
      <w:r w:rsidR="00805A08">
        <w:rPr>
          <w:rFonts w:ascii="Times New Roman" w:hAnsi="Times New Roman" w:cs="Times New Roman"/>
          <w:sz w:val="24"/>
          <w:szCs w:val="24"/>
        </w:rPr>
        <w:t xml:space="preserve">procentpunktu, veidojot </w:t>
      </w:r>
      <w:r w:rsidR="003D0E9E">
        <w:rPr>
          <w:rFonts w:ascii="Times New Roman" w:hAnsi="Times New Roman" w:cs="Times New Roman"/>
          <w:sz w:val="24"/>
          <w:szCs w:val="24"/>
        </w:rPr>
        <w:t>23,9 %, un vairumtirdzniecībā – par 3,</w:t>
      </w:r>
      <w:r w:rsidR="00A934A9">
        <w:rPr>
          <w:rFonts w:ascii="Times New Roman" w:hAnsi="Times New Roman" w:cs="Times New Roman"/>
          <w:sz w:val="24"/>
          <w:szCs w:val="24"/>
        </w:rPr>
        <w:t>9 procentpunktiem, veidojot 20,5</w:t>
      </w:r>
      <w:r w:rsidR="00844361">
        <w:rPr>
          <w:rFonts w:ascii="Times New Roman" w:hAnsi="Times New Roman" w:cs="Times New Roman"/>
          <w:sz w:val="24"/>
          <w:szCs w:val="24"/>
        </w:rPr>
        <w:t> </w:t>
      </w:r>
      <w:r w:rsidR="00A934A9">
        <w:rPr>
          <w:rFonts w:ascii="Times New Roman" w:hAnsi="Times New Roman" w:cs="Times New Roman"/>
          <w:sz w:val="24"/>
          <w:szCs w:val="24"/>
        </w:rPr>
        <w:t>%.</w:t>
      </w:r>
    </w:p>
    <w:p w14:paraId="0E8ED109" w14:textId="3FB19D22" w:rsidR="00503848" w:rsidRPr="008C7A33" w:rsidRDefault="0048136C" w:rsidP="00503848">
      <w:pPr>
        <w:tabs>
          <w:tab w:val="left" w:pos="1134"/>
        </w:tabs>
        <w:spacing w:after="0" w:line="240" w:lineRule="auto"/>
        <w:ind w:firstLine="709"/>
        <w:jc w:val="both"/>
        <w:rPr>
          <w:rFonts w:ascii="Times New Roman" w:eastAsia="Times New Roman" w:hAnsi="Times New Roman" w:cs="Times New Roman"/>
          <w:sz w:val="24"/>
          <w:szCs w:val="24"/>
        </w:rPr>
      </w:pPr>
      <w:r w:rsidRPr="008C7A33">
        <w:rPr>
          <w:rFonts w:ascii="Times New Roman" w:eastAsia="Times New Roman" w:hAnsi="Times New Roman" w:cs="Times New Roman"/>
          <w:sz w:val="24"/>
          <w:szCs w:val="24"/>
        </w:rPr>
        <w:t>Frīdrihs Šneiders pētījum</w:t>
      </w:r>
      <w:r w:rsidR="00844361">
        <w:rPr>
          <w:rFonts w:ascii="Times New Roman" w:eastAsia="Times New Roman" w:hAnsi="Times New Roman" w:cs="Times New Roman"/>
          <w:sz w:val="24"/>
          <w:szCs w:val="24"/>
        </w:rPr>
        <w:t>ā</w:t>
      </w:r>
      <w:r w:rsidRPr="008C7A33">
        <w:rPr>
          <w:rStyle w:val="FootnoteReference"/>
          <w:rFonts w:eastAsia="Times New Roman" w:cs="Times New Roman"/>
          <w:sz w:val="24"/>
        </w:rPr>
        <w:footnoteReference w:id="13"/>
      </w:r>
      <w:r w:rsidRPr="008C7A33">
        <w:rPr>
          <w:rFonts w:ascii="Times New Roman" w:eastAsia="Times New Roman" w:hAnsi="Times New Roman" w:cs="Times New Roman"/>
          <w:sz w:val="24"/>
          <w:szCs w:val="24"/>
        </w:rPr>
        <w:t xml:space="preserve"> par ēnu ekonomikas īpatsvaru 36 Eiropas valstīs un </w:t>
      </w:r>
      <w:r w:rsidR="00844361">
        <w:rPr>
          <w:rFonts w:ascii="Times New Roman" w:eastAsia="Times New Roman" w:hAnsi="Times New Roman" w:cs="Times New Roman"/>
          <w:sz w:val="24"/>
          <w:szCs w:val="24"/>
        </w:rPr>
        <w:t xml:space="preserve">piecās </w:t>
      </w:r>
      <w:r w:rsidRPr="008C7A33">
        <w:rPr>
          <w:rFonts w:ascii="Times New Roman" w:eastAsia="Times New Roman" w:hAnsi="Times New Roman" w:cs="Times New Roman"/>
          <w:sz w:val="24"/>
          <w:szCs w:val="24"/>
        </w:rPr>
        <w:t xml:space="preserve">ESAO valstīs ir secinājis, ka ēnu ekonomikas īpatsvars Latvijā </w:t>
      </w:r>
      <w:r w:rsidR="00A3417A" w:rsidRPr="008C7A33">
        <w:rPr>
          <w:rFonts w:ascii="Times New Roman" w:eastAsia="Times New Roman" w:hAnsi="Times New Roman" w:cs="Times New Roman"/>
          <w:sz w:val="24"/>
          <w:szCs w:val="24"/>
        </w:rPr>
        <w:t xml:space="preserve">kopš 2012. gada, kad tas bija </w:t>
      </w:r>
      <w:r w:rsidR="00A3417A" w:rsidRPr="008C7A33">
        <w:rPr>
          <w:rFonts w:ascii="Times New Roman" w:eastAsia="Times New Roman" w:hAnsi="Times New Roman" w:cs="Times New Roman"/>
          <w:sz w:val="24"/>
          <w:szCs w:val="24"/>
        </w:rPr>
        <w:lastRenderedPageBreak/>
        <w:t>26,10</w:t>
      </w:r>
      <w:r w:rsidR="007776B9" w:rsidRPr="008C7A33">
        <w:rPr>
          <w:rFonts w:ascii="Times New Roman" w:eastAsia="Times New Roman" w:hAnsi="Times New Roman" w:cs="Times New Roman"/>
          <w:sz w:val="24"/>
          <w:szCs w:val="24"/>
        </w:rPr>
        <w:t> %,</w:t>
      </w:r>
      <w:r w:rsidR="00A3417A" w:rsidRPr="008C7A33">
        <w:rPr>
          <w:rFonts w:ascii="Times New Roman" w:eastAsia="Times New Roman" w:hAnsi="Times New Roman" w:cs="Times New Roman"/>
          <w:sz w:val="24"/>
          <w:szCs w:val="24"/>
        </w:rPr>
        <w:t xml:space="preserve"> ir samazinājies un </w:t>
      </w:r>
      <w:r w:rsidRPr="008C7A33">
        <w:rPr>
          <w:rFonts w:ascii="Times New Roman" w:eastAsia="Times New Roman" w:hAnsi="Times New Roman" w:cs="Times New Roman"/>
          <w:sz w:val="24"/>
          <w:szCs w:val="24"/>
        </w:rPr>
        <w:t>20</w:t>
      </w:r>
      <w:r w:rsidR="00503848" w:rsidRPr="008C7A33">
        <w:rPr>
          <w:rFonts w:ascii="Times New Roman" w:eastAsia="Times New Roman" w:hAnsi="Times New Roman" w:cs="Times New Roman"/>
          <w:sz w:val="24"/>
          <w:szCs w:val="24"/>
        </w:rPr>
        <w:t>22</w:t>
      </w:r>
      <w:r w:rsidRPr="008C7A33">
        <w:rPr>
          <w:rFonts w:ascii="Times New Roman" w:eastAsia="Times New Roman" w:hAnsi="Times New Roman" w:cs="Times New Roman"/>
          <w:sz w:val="24"/>
          <w:szCs w:val="24"/>
        </w:rPr>
        <w:t>.</w:t>
      </w:r>
      <w:r w:rsidR="00844361">
        <w:rPr>
          <w:rFonts w:ascii="Times New Roman" w:eastAsia="Times New Roman" w:hAnsi="Times New Roman" w:cs="Times New Roman"/>
          <w:sz w:val="24"/>
          <w:szCs w:val="24"/>
        </w:rPr>
        <w:t xml:space="preserve"> </w:t>
      </w:r>
      <w:r w:rsidRPr="008C7A33">
        <w:rPr>
          <w:rFonts w:ascii="Times New Roman" w:eastAsia="Times New Roman" w:hAnsi="Times New Roman" w:cs="Times New Roman"/>
          <w:sz w:val="24"/>
          <w:szCs w:val="24"/>
        </w:rPr>
        <w:t xml:space="preserve">gadā veidoja </w:t>
      </w:r>
      <w:r w:rsidR="00503848" w:rsidRPr="008C7A33">
        <w:rPr>
          <w:rFonts w:ascii="Times New Roman" w:eastAsia="Times New Roman" w:hAnsi="Times New Roman" w:cs="Times New Roman"/>
          <w:sz w:val="24"/>
          <w:szCs w:val="24"/>
        </w:rPr>
        <w:t>19,94</w:t>
      </w:r>
      <w:r w:rsidRPr="008C7A33">
        <w:rPr>
          <w:rFonts w:ascii="Times New Roman" w:eastAsia="Times New Roman" w:hAnsi="Times New Roman" w:cs="Times New Roman"/>
          <w:sz w:val="24"/>
          <w:szCs w:val="24"/>
        </w:rPr>
        <w:t> % no IKP</w:t>
      </w:r>
      <w:r w:rsidR="007776B9" w:rsidRPr="008C7A33">
        <w:rPr>
          <w:rFonts w:ascii="Times New Roman" w:eastAsia="Times New Roman" w:hAnsi="Times New Roman" w:cs="Times New Roman"/>
          <w:sz w:val="24"/>
          <w:szCs w:val="24"/>
        </w:rPr>
        <w:t>. Turklāt</w:t>
      </w:r>
      <w:r w:rsidR="00503848" w:rsidRPr="008C7A33">
        <w:rPr>
          <w:rFonts w:ascii="Times New Roman" w:eastAsia="Times New Roman" w:hAnsi="Times New Roman" w:cs="Times New Roman"/>
          <w:sz w:val="24"/>
          <w:szCs w:val="24"/>
        </w:rPr>
        <w:t xml:space="preserve"> šis ir zemākais rādītājs starp Baltijas valstī</w:t>
      </w:r>
      <w:r w:rsidR="00A3417A" w:rsidRPr="008C7A33">
        <w:rPr>
          <w:rFonts w:ascii="Times New Roman" w:eastAsia="Times New Roman" w:hAnsi="Times New Roman" w:cs="Times New Roman"/>
          <w:sz w:val="24"/>
          <w:szCs w:val="24"/>
        </w:rPr>
        <w:t>m (salīdzinoši</w:t>
      </w:r>
      <w:r w:rsidR="007776B9" w:rsidRPr="008C7A33">
        <w:rPr>
          <w:rFonts w:ascii="Times New Roman" w:eastAsia="Times New Roman" w:hAnsi="Times New Roman" w:cs="Times New Roman"/>
          <w:sz w:val="24"/>
          <w:szCs w:val="24"/>
        </w:rPr>
        <w:t xml:space="preserve"> Igaunijā </w:t>
      </w:r>
      <w:r w:rsidR="0089088A" w:rsidRPr="008C7A33">
        <w:rPr>
          <w:rFonts w:ascii="Times New Roman" w:eastAsia="Times New Roman" w:hAnsi="Times New Roman" w:cs="Times New Roman"/>
          <w:sz w:val="24"/>
          <w:szCs w:val="24"/>
        </w:rPr>
        <w:t xml:space="preserve">2022. gadā ēnu ekonomikas īpatsvars veidoja 22,74 % no IKP, </w:t>
      </w:r>
      <w:r w:rsidR="00844361">
        <w:rPr>
          <w:rFonts w:ascii="Times New Roman" w:eastAsia="Times New Roman" w:hAnsi="Times New Roman" w:cs="Times New Roman"/>
          <w:sz w:val="24"/>
          <w:szCs w:val="24"/>
        </w:rPr>
        <w:t>be</w:t>
      </w:r>
      <w:r w:rsidR="0089088A" w:rsidRPr="008C7A33">
        <w:rPr>
          <w:rFonts w:ascii="Times New Roman" w:eastAsia="Times New Roman" w:hAnsi="Times New Roman" w:cs="Times New Roman"/>
          <w:sz w:val="24"/>
          <w:szCs w:val="24"/>
        </w:rPr>
        <w:t>t Lietuvā – 22,36 % no IKP).</w:t>
      </w:r>
    </w:p>
    <w:p w14:paraId="2ADEC4AC" w14:textId="79DE6347" w:rsidR="0048136C" w:rsidRDefault="0048136C" w:rsidP="0048136C">
      <w:pPr>
        <w:tabs>
          <w:tab w:val="left" w:pos="1134"/>
        </w:tabs>
        <w:spacing w:after="0" w:line="240" w:lineRule="auto"/>
        <w:ind w:firstLine="709"/>
        <w:jc w:val="both"/>
        <w:rPr>
          <w:rFonts w:ascii="Times New Roman" w:eastAsia="Times New Roman" w:hAnsi="Times New Roman" w:cs="Times New Roman"/>
          <w:sz w:val="24"/>
          <w:szCs w:val="24"/>
        </w:rPr>
      </w:pPr>
      <w:r w:rsidRPr="008C7A33">
        <w:rPr>
          <w:rFonts w:ascii="Times New Roman" w:eastAsia="Times New Roman" w:hAnsi="Times New Roman" w:cs="Times New Roman"/>
          <w:sz w:val="24"/>
          <w:szCs w:val="24"/>
        </w:rPr>
        <w:t xml:space="preserve">Lai gan ēnu ekonomikas īpatsvara noteikšanas metodoloģijas ir sarežģītas un rezultāts ir atkarīgs no dažādiem faktoriem un pieņēmumiem, </w:t>
      </w:r>
      <w:r w:rsidR="00844361">
        <w:rPr>
          <w:rFonts w:ascii="Times New Roman" w:eastAsia="Times New Roman" w:hAnsi="Times New Roman" w:cs="Times New Roman"/>
          <w:sz w:val="24"/>
          <w:szCs w:val="24"/>
        </w:rPr>
        <w:t>pamatojoties uz</w:t>
      </w:r>
      <w:r w:rsidR="008C7A33" w:rsidRPr="008C7A33">
        <w:rPr>
          <w:rFonts w:ascii="Times New Roman" w:eastAsia="Times New Roman" w:hAnsi="Times New Roman" w:cs="Times New Roman"/>
          <w:sz w:val="24"/>
          <w:szCs w:val="24"/>
        </w:rPr>
        <w:t xml:space="preserve"> </w:t>
      </w:r>
      <w:r w:rsidRPr="008C7A33">
        <w:rPr>
          <w:rFonts w:ascii="Times New Roman" w:eastAsia="Times New Roman" w:hAnsi="Times New Roman" w:cs="Times New Roman"/>
          <w:sz w:val="24"/>
          <w:szCs w:val="24"/>
        </w:rPr>
        <w:t>abu pētījumu secinājum</w:t>
      </w:r>
      <w:r w:rsidR="008C7A33" w:rsidRPr="008C7A33">
        <w:rPr>
          <w:rFonts w:ascii="Times New Roman" w:eastAsia="Times New Roman" w:hAnsi="Times New Roman" w:cs="Times New Roman"/>
          <w:sz w:val="24"/>
          <w:szCs w:val="24"/>
        </w:rPr>
        <w:t>iem</w:t>
      </w:r>
      <w:r w:rsidRPr="008C7A33">
        <w:rPr>
          <w:rFonts w:ascii="Times New Roman" w:eastAsia="Times New Roman" w:hAnsi="Times New Roman" w:cs="Times New Roman"/>
          <w:sz w:val="24"/>
          <w:szCs w:val="24"/>
        </w:rPr>
        <w:t xml:space="preserve"> par kopējo ēnu ekonomikas īpatsvaru Latvijā</w:t>
      </w:r>
      <w:r w:rsidR="008C7A33" w:rsidRPr="008C7A33">
        <w:rPr>
          <w:rFonts w:ascii="Times New Roman" w:eastAsia="Times New Roman" w:hAnsi="Times New Roman" w:cs="Times New Roman"/>
          <w:sz w:val="24"/>
          <w:szCs w:val="24"/>
        </w:rPr>
        <w:t xml:space="preserve"> 2022.</w:t>
      </w:r>
      <w:r w:rsidR="00844361">
        <w:rPr>
          <w:rFonts w:ascii="Times New Roman" w:eastAsia="Times New Roman" w:hAnsi="Times New Roman" w:cs="Times New Roman"/>
          <w:sz w:val="24"/>
          <w:szCs w:val="24"/>
        </w:rPr>
        <w:t xml:space="preserve"> </w:t>
      </w:r>
      <w:r w:rsidR="008C7A33" w:rsidRPr="008C7A33">
        <w:rPr>
          <w:rFonts w:ascii="Times New Roman" w:eastAsia="Times New Roman" w:hAnsi="Times New Roman" w:cs="Times New Roman"/>
          <w:sz w:val="24"/>
          <w:szCs w:val="24"/>
        </w:rPr>
        <w:t>gadā</w:t>
      </w:r>
      <w:r w:rsidR="00844361">
        <w:rPr>
          <w:rFonts w:ascii="Times New Roman" w:eastAsia="Times New Roman" w:hAnsi="Times New Roman" w:cs="Times New Roman"/>
          <w:sz w:val="24"/>
          <w:szCs w:val="24"/>
        </w:rPr>
        <w:t>,</w:t>
      </w:r>
      <w:r w:rsidR="008C7A33" w:rsidRPr="008C7A33">
        <w:rPr>
          <w:rFonts w:ascii="Times New Roman" w:eastAsia="Times New Roman" w:hAnsi="Times New Roman" w:cs="Times New Roman"/>
          <w:sz w:val="24"/>
          <w:szCs w:val="24"/>
        </w:rPr>
        <w:t xml:space="preserve"> var pieņemt,</w:t>
      </w:r>
      <w:r w:rsidRPr="008C7A33">
        <w:rPr>
          <w:rFonts w:ascii="Times New Roman" w:eastAsia="Times New Roman" w:hAnsi="Times New Roman" w:cs="Times New Roman"/>
          <w:sz w:val="24"/>
          <w:szCs w:val="24"/>
        </w:rPr>
        <w:t xml:space="preserve"> ka kopējais ēnu ekonomikas īpatsvars Latvijas ekonomikā ir </w:t>
      </w:r>
      <w:r w:rsidR="008C7A33" w:rsidRPr="008C7A33">
        <w:rPr>
          <w:rFonts w:ascii="Times New Roman" w:eastAsia="Times New Roman" w:hAnsi="Times New Roman" w:cs="Times New Roman"/>
          <w:sz w:val="24"/>
          <w:szCs w:val="24"/>
        </w:rPr>
        <w:t>19</w:t>
      </w:r>
      <w:r w:rsidRPr="008C7A33">
        <w:rPr>
          <w:rFonts w:ascii="Times New Roman" w:eastAsia="Times New Roman" w:hAnsi="Times New Roman" w:cs="Times New Roman"/>
          <w:sz w:val="24"/>
          <w:szCs w:val="24"/>
        </w:rPr>
        <w:t>–2</w:t>
      </w:r>
      <w:r w:rsidR="008C7A33" w:rsidRPr="008C7A33">
        <w:rPr>
          <w:rFonts w:ascii="Times New Roman" w:eastAsia="Times New Roman" w:hAnsi="Times New Roman" w:cs="Times New Roman"/>
          <w:sz w:val="24"/>
          <w:szCs w:val="24"/>
        </w:rPr>
        <w:t>6</w:t>
      </w:r>
      <w:r w:rsidRPr="008C7A33">
        <w:rPr>
          <w:rFonts w:ascii="Times New Roman" w:eastAsia="Times New Roman" w:hAnsi="Times New Roman" w:cs="Times New Roman"/>
          <w:sz w:val="24"/>
          <w:szCs w:val="24"/>
        </w:rPr>
        <w:t> % robežās.</w:t>
      </w:r>
    </w:p>
    <w:p w14:paraId="4B4666E0" w14:textId="1F1403AA" w:rsidR="00F16D17" w:rsidRPr="00597187" w:rsidRDefault="00F16D17" w:rsidP="00597187">
      <w:pPr>
        <w:tabs>
          <w:tab w:val="left" w:pos="1134"/>
        </w:tabs>
        <w:spacing w:before="120" w:after="120" w:line="240" w:lineRule="auto"/>
        <w:ind w:firstLine="709"/>
        <w:jc w:val="both"/>
        <w:rPr>
          <w:rFonts w:ascii="Times New Roman" w:eastAsia="Times New Roman" w:hAnsi="Times New Roman" w:cs="Times New Roman"/>
          <w:sz w:val="24"/>
          <w:szCs w:val="24"/>
          <w:u w:val="single"/>
        </w:rPr>
      </w:pPr>
      <w:r w:rsidRPr="00597187">
        <w:rPr>
          <w:rFonts w:ascii="Times New Roman" w:eastAsia="Times New Roman" w:hAnsi="Times New Roman" w:cs="Times New Roman"/>
          <w:sz w:val="24"/>
          <w:szCs w:val="24"/>
          <w:u w:val="single"/>
        </w:rPr>
        <w:t xml:space="preserve">Pārtikas </w:t>
      </w:r>
      <w:r w:rsidR="00844361">
        <w:rPr>
          <w:rFonts w:ascii="Times New Roman" w:eastAsia="Times New Roman" w:hAnsi="Times New Roman" w:cs="Times New Roman"/>
          <w:sz w:val="24"/>
          <w:szCs w:val="24"/>
          <w:u w:val="single"/>
        </w:rPr>
        <w:t xml:space="preserve">un </w:t>
      </w:r>
      <w:r w:rsidRPr="00597187">
        <w:rPr>
          <w:rFonts w:ascii="Times New Roman" w:eastAsia="Times New Roman" w:hAnsi="Times New Roman" w:cs="Times New Roman"/>
          <w:sz w:val="24"/>
          <w:szCs w:val="24"/>
          <w:u w:val="single"/>
        </w:rPr>
        <w:t>veterinārā dienesta kontroles augļu, ogu un dārzeņu tirdzniecībā</w:t>
      </w:r>
    </w:p>
    <w:p w14:paraId="08886BCA" w14:textId="5DDD607B" w:rsidR="007A5CBB" w:rsidRPr="00AD5CDE" w:rsidRDefault="003A1320" w:rsidP="00AD5CDE">
      <w:pPr>
        <w:tabs>
          <w:tab w:val="left" w:pos="1134"/>
        </w:tabs>
        <w:spacing w:after="120" w:line="240" w:lineRule="auto"/>
        <w:ind w:firstLine="706"/>
        <w:jc w:val="both"/>
        <w:rPr>
          <w:rFonts w:ascii="Times New Roman" w:eastAsia="Times New Roman" w:hAnsi="Times New Roman" w:cs="Times New Roman"/>
          <w:sz w:val="24"/>
          <w:szCs w:val="24"/>
        </w:rPr>
      </w:pPr>
      <w:r w:rsidRPr="002B356F">
        <w:rPr>
          <w:rFonts w:ascii="Times New Roman" w:eastAsia="Times New Roman" w:hAnsi="Times New Roman" w:cs="Times New Roman"/>
          <w:sz w:val="24"/>
          <w:szCs w:val="24"/>
        </w:rPr>
        <w:t>Kopš samazinātās 5</w:t>
      </w:r>
      <w:r w:rsidR="00844361">
        <w:rPr>
          <w:rFonts w:ascii="Times New Roman" w:eastAsia="Times New Roman" w:hAnsi="Times New Roman" w:cs="Times New Roman"/>
          <w:sz w:val="24"/>
          <w:szCs w:val="24"/>
        </w:rPr>
        <w:t> </w:t>
      </w:r>
      <w:r w:rsidRPr="002B356F">
        <w:rPr>
          <w:rFonts w:ascii="Times New Roman" w:eastAsia="Times New Roman" w:hAnsi="Times New Roman" w:cs="Times New Roman"/>
          <w:sz w:val="24"/>
          <w:szCs w:val="24"/>
        </w:rPr>
        <w:t xml:space="preserve">% PVN likmes ieviešanas ir mazinājusies uzņēmēju darbošanās ēnu ekonomikā. </w:t>
      </w:r>
    </w:p>
    <w:p w14:paraId="30B50CAB" w14:textId="642714E4" w:rsidR="007A5CBB" w:rsidRDefault="007A5CBB" w:rsidP="0086518B">
      <w:pPr>
        <w:spacing w:after="120" w:line="240" w:lineRule="auto"/>
        <w:rPr>
          <w:rFonts w:ascii="Times New Roman" w:hAnsi="Times New Roman" w:cs="Times New Roman"/>
          <w:sz w:val="24"/>
          <w:szCs w:val="24"/>
          <w:highlight w:val="yellow"/>
        </w:rPr>
      </w:pPr>
      <w:r>
        <w:rPr>
          <w:noProof/>
          <w:lang w:eastAsia="lv-LV"/>
        </w:rPr>
        <w:drawing>
          <wp:inline distT="0" distB="0" distL="0" distR="0" wp14:anchorId="4A594D9D" wp14:editId="6D23866B">
            <wp:extent cx="5724525" cy="3076575"/>
            <wp:effectExtent l="0" t="0" r="9525" b="9525"/>
            <wp:docPr id="15" name="Chart 15">
              <a:extLst xmlns:a="http://schemas.openxmlformats.org/drawingml/2006/main">
                <a:ext uri="{FF2B5EF4-FFF2-40B4-BE49-F238E27FC236}">
                  <a16:creationId xmlns:a16="http://schemas.microsoft.com/office/drawing/2014/main" id="{D8BFE7CB-45F7-3E76-A1D2-E6D85B9F47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4B55A1" w14:textId="7EB6A419" w:rsidR="003A1320" w:rsidRPr="00734F1A" w:rsidRDefault="00B1011D" w:rsidP="003A1320">
      <w:pPr>
        <w:spacing w:after="0" w:line="240" w:lineRule="auto"/>
        <w:ind w:firstLine="851"/>
        <w:rPr>
          <w:rFonts w:ascii="Times New Roman" w:hAnsi="Times New Roman" w:cs="Times New Roman"/>
          <w:sz w:val="24"/>
          <w:szCs w:val="24"/>
        </w:rPr>
      </w:pPr>
      <w:r w:rsidRPr="00B1011D">
        <w:rPr>
          <w:rFonts w:ascii="Times New Roman" w:hAnsi="Times New Roman" w:cs="Times New Roman"/>
          <w:sz w:val="24"/>
          <w:szCs w:val="24"/>
        </w:rPr>
        <w:t>4</w:t>
      </w:r>
      <w:r w:rsidR="003A1320" w:rsidRPr="00B1011D">
        <w:rPr>
          <w:rFonts w:ascii="Times New Roman" w:hAnsi="Times New Roman" w:cs="Times New Roman"/>
          <w:sz w:val="24"/>
          <w:szCs w:val="24"/>
        </w:rPr>
        <w:t>.</w:t>
      </w:r>
      <w:r w:rsidR="00844361">
        <w:rPr>
          <w:rFonts w:ascii="Times New Roman" w:hAnsi="Times New Roman" w:cs="Times New Roman"/>
          <w:sz w:val="24"/>
          <w:szCs w:val="24"/>
        </w:rPr>
        <w:t> </w:t>
      </w:r>
      <w:r w:rsidR="003A1320" w:rsidRPr="00B1011D">
        <w:rPr>
          <w:rFonts w:ascii="Times New Roman" w:hAnsi="Times New Roman" w:cs="Times New Roman"/>
          <w:sz w:val="24"/>
          <w:szCs w:val="24"/>
        </w:rPr>
        <w:t>attēls.</w:t>
      </w:r>
      <w:r w:rsidR="003A1320" w:rsidRPr="00734F1A">
        <w:rPr>
          <w:rFonts w:ascii="Times New Roman" w:hAnsi="Times New Roman" w:cs="Times New Roman"/>
          <w:sz w:val="24"/>
          <w:szCs w:val="24"/>
        </w:rPr>
        <w:t xml:space="preserve"> PVD konstatēto pārkāpumu skaita dinamika augļu, ogu un dārzeņu tirdzniecībā no 2017. līdz </w:t>
      </w:r>
      <w:r w:rsidR="002B356F">
        <w:rPr>
          <w:rFonts w:ascii="Times New Roman" w:hAnsi="Times New Roman" w:cs="Times New Roman"/>
          <w:sz w:val="24"/>
          <w:szCs w:val="24"/>
        </w:rPr>
        <w:t>2022</w:t>
      </w:r>
      <w:r w:rsidR="003A1320" w:rsidRPr="00734F1A">
        <w:rPr>
          <w:rFonts w:ascii="Times New Roman" w:hAnsi="Times New Roman" w:cs="Times New Roman"/>
          <w:sz w:val="24"/>
          <w:szCs w:val="24"/>
        </w:rPr>
        <w:t>.</w:t>
      </w:r>
      <w:r w:rsidR="00844361">
        <w:rPr>
          <w:rFonts w:ascii="Times New Roman" w:hAnsi="Times New Roman" w:cs="Times New Roman"/>
          <w:sz w:val="24"/>
          <w:szCs w:val="24"/>
        </w:rPr>
        <w:t xml:space="preserve"> </w:t>
      </w:r>
      <w:r w:rsidR="003A1320" w:rsidRPr="00734F1A">
        <w:rPr>
          <w:rFonts w:ascii="Times New Roman" w:hAnsi="Times New Roman" w:cs="Times New Roman"/>
          <w:sz w:val="24"/>
          <w:szCs w:val="24"/>
        </w:rPr>
        <w:t>gadam</w:t>
      </w:r>
    </w:p>
    <w:p w14:paraId="6E20D64E" w14:textId="77777777" w:rsidR="003A1320" w:rsidRPr="00734F1A" w:rsidRDefault="003A1320" w:rsidP="003A1320">
      <w:pPr>
        <w:tabs>
          <w:tab w:val="left" w:pos="1134"/>
        </w:tabs>
        <w:spacing w:after="120" w:line="240" w:lineRule="auto"/>
        <w:ind w:firstLine="709"/>
        <w:jc w:val="both"/>
        <w:rPr>
          <w:rFonts w:ascii="Times New Roman" w:eastAsia="Times New Roman" w:hAnsi="Times New Roman" w:cs="Times New Roman"/>
          <w:sz w:val="20"/>
          <w:szCs w:val="20"/>
        </w:rPr>
      </w:pPr>
      <w:r w:rsidRPr="00734F1A">
        <w:rPr>
          <w:rFonts w:ascii="Times New Roman" w:eastAsia="Times New Roman" w:hAnsi="Times New Roman" w:cs="Times New Roman"/>
          <w:i/>
          <w:sz w:val="20"/>
          <w:szCs w:val="20"/>
        </w:rPr>
        <w:t xml:space="preserve">Datu avots: </w:t>
      </w:r>
      <w:r w:rsidRPr="00734F1A">
        <w:rPr>
          <w:rFonts w:ascii="Times New Roman" w:eastAsia="Times New Roman" w:hAnsi="Times New Roman" w:cs="Times New Roman"/>
          <w:sz w:val="20"/>
          <w:szCs w:val="20"/>
        </w:rPr>
        <w:t>Zemkopības ministrija pēc PVD datiem</w:t>
      </w:r>
    </w:p>
    <w:p w14:paraId="7CCA5FD9" w14:textId="65E6D9BE" w:rsidR="003A1320" w:rsidRPr="0021494D" w:rsidRDefault="00D854A2" w:rsidP="0021494D">
      <w:pPr>
        <w:tabs>
          <w:tab w:val="left" w:pos="1134"/>
        </w:tabs>
        <w:spacing w:after="0" w:line="240" w:lineRule="auto"/>
        <w:ind w:firstLine="709"/>
        <w:jc w:val="both"/>
        <w:rPr>
          <w:rFonts w:ascii="Times New Roman" w:eastAsia="Times New Roman" w:hAnsi="Times New Roman" w:cs="Times New Roman"/>
          <w:sz w:val="24"/>
          <w:szCs w:val="24"/>
        </w:rPr>
      </w:pPr>
      <w:r w:rsidRPr="002B356F">
        <w:rPr>
          <w:rFonts w:ascii="Times New Roman" w:eastAsia="Times New Roman" w:hAnsi="Times New Roman" w:cs="Times New Roman"/>
          <w:sz w:val="24"/>
          <w:szCs w:val="24"/>
        </w:rPr>
        <w:t xml:space="preserve">To apliecina arī Pārtikas </w:t>
      </w:r>
      <w:r w:rsidR="00844361">
        <w:rPr>
          <w:rFonts w:ascii="Times New Roman" w:eastAsia="Times New Roman" w:hAnsi="Times New Roman" w:cs="Times New Roman"/>
          <w:sz w:val="24"/>
          <w:szCs w:val="24"/>
        </w:rPr>
        <w:t xml:space="preserve">un </w:t>
      </w:r>
      <w:r w:rsidRPr="002B356F">
        <w:rPr>
          <w:rFonts w:ascii="Times New Roman" w:eastAsia="Times New Roman" w:hAnsi="Times New Roman" w:cs="Times New Roman"/>
          <w:sz w:val="24"/>
          <w:szCs w:val="24"/>
        </w:rPr>
        <w:t xml:space="preserve">veterinārā dienesta (turpmāk – PVD) informācija </w:t>
      </w:r>
      <w:r w:rsidRPr="00D854A2">
        <w:rPr>
          <w:rFonts w:ascii="Times New Roman" w:eastAsia="Times New Roman" w:hAnsi="Times New Roman" w:cs="Times New Roman"/>
          <w:sz w:val="24"/>
          <w:szCs w:val="24"/>
        </w:rPr>
        <w:t>(4.</w:t>
      </w:r>
      <w:r w:rsidR="00844361">
        <w:rPr>
          <w:rFonts w:ascii="Times New Roman" w:eastAsia="Times New Roman" w:hAnsi="Times New Roman" w:cs="Times New Roman"/>
          <w:sz w:val="24"/>
          <w:szCs w:val="24"/>
        </w:rPr>
        <w:t> </w:t>
      </w:r>
      <w:r w:rsidRPr="00D854A2">
        <w:rPr>
          <w:rFonts w:ascii="Times New Roman" w:eastAsia="Times New Roman" w:hAnsi="Times New Roman" w:cs="Times New Roman"/>
          <w:sz w:val="24"/>
          <w:szCs w:val="24"/>
        </w:rPr>
        <w:t xml:space="preserve">attēls). </w:t>
      </w:r>
      <w:r w:rsidRPr="002074B6">
        <w:rPr>
          <w:rFonts w:ascii="Times New Roman" w:eastAsia="Times New Roman" w:hAnsi="Times New Roman" w:cs="Times New Roman"/>
          <w:sz w:val="24"/>
          <w:szCs w:val="24"/>
        </w:rPr>
        <w:t>Kopš 2017.</w:t>
      </w:r>
      <w:r w:rsidR="00844361">
        <w:rPr>
          <w:rFonts w:ascii="Times New Roman" w:eastAsia="Times New Roman" w:hAnsi="Times New Roman" w:cs="Times New Roman"/>
          <w:sz w:val="24"/>
          <w:szCs w:val="24"/>
        </w:rPr>
        <w:t xml:space="preserve"> </w:t>
      </w:r>
      <w:r w:rsidRPr="002074B6">
        <w:rPr>
          <w:rFonts w:ascii="Times New Roman" w:eastAsia="Times New Roman" w:hAnsi="Times New Roman" w:cs="Times New Roman"/>
          <w:sz w:val="24"/>
          <w:szCs w:val="24"/>
        </w:rPr>
        <w:t>gada to gadījumu skaits, kad konstatētas neatbilstības</w:t>
      </w:r>
      <w:r w:rsidR="00844361">
        <w:rPr>
          <w:rFonts w:ascii="Times New Roman" w:eastAsia="Times New Roman" w:hAnsi="Times New Roman" w:cs="Times New Roman"/>
          <w:sz w:val="24"/>
          <w:szCs w:val="24"/>
        </w:rPr>
        <w:t>,</w:t>
      </w:r>
      <w:r w:rsidRPr="002074B6">
        <w:rPr>
          <w:rFonts w:ascii="Times New Roman" w:eastAsia="Times New Roman" w:hAnsi="Times New Roman" w:cs="Times New Roman"/>
          <w:sz w:val="24"/>
          <w:szCs w:val="24"/>
        </w:rPr>
        <w:t xml:space="preserve"> 2022.</w:t>
      </w:r>
      <w:r w:rsidR="00844361">
        <w:rPr>
          <w:rFonts w:ascii="Times New Roman" w:eastAsia="Times New Roman" w:hAnsi="Times New Roman" w:cs="Times New Roman"/>
          <w:sz w:val="24"/>
          <w:szCs w:val="24"/>
        </w:rPr>
        <w:t xml:space="preserve"> </w:t>
      </w:r>
      <w:r w:rsidRPr="002074B6">
        <w:rPr>
          <w:rFonts w:ascii="Times New Roman" w:eastAsia="Times New Roman" w:hAnsi="Times New Roman" w:cs="Times New Roman"/>
          <w:sz w:val="24"/>
          <w:szCs w:val="24"/>
        </w:rPr>
        <w:t xml:space="preserve">gadā ir samazinājies </w:t>
      </w:r>
      <w:r>
        <w:rPr>
          <w:rFonts w:ascii="Times New Roman" w:eastAsia="Times New Roman" w:hAnsi="Times New Roman" w:cs="Times New Roman"/>
          <w:sz w:val="24"/>
          <w:szCs w:val="24"/>
        </w:rPr>
        <w:t>ievērojami</w:t>
      </w:r>
      <w:r w:rsidR="009975E3">
        <w:rPr>
          <w:rFonts w:ascii="Times New Roman" w:eastAsia="Times New Roman" w:hAnsi="Times New Roman" w:cs="Times New Roman"/>
          <w:sz w:val="24"/>
          <w:szCs w:val="24"/>
        </w:rPr>
        <w:t> </w:t>
      </w:r>
      <w:r w:rsidR="008443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074B6">
        <w:rPr>
          <w:rFonts w:ascii="Times New Roman" w:eastAsia="Times New Roman" w:hAnsi="Times New Roman" w:cs="Times New Roman"/>
          <w:sz w:val="24"/>
          <w:szCs w:val="24"/>
        </w:rPr>
        <w:t>par 30</w:t>
      </w:r>
      <w:r w:rsidR="007F29A3">
        <w:rPr>
          <w:rFonts w:ascii="Times New Roman" w:eastAsia="Times New Roman" w:hAnsi="Times New Roman" w:cs="Times New Roman"/>
          <w:sz w:val="24"/>
          <w:szCs w:val="24"/>
        </w:rPr>
        <w:t> </w:t>
      </w:r>
      <w:r>
        <w:rPr>
          <w:rFonts w:ascii="Times New Roman" w:eastAsia="Times New Roman" w:hAnsi="Times New Roman" w:cs="Times New Roman"/>
          <w:sz w:val="24"/>
          <w:szCs w:val="24"/>
        </w:rPr>
        <w:t>procentpunktiem</w:t>
      </w:r>
      <w:r w:rsidRPr="002074B6">
        <w:rPr>
          <w:rFonts w:ascii="Times New Roman" w:eastAsia="Times New Roman" w:hAnsi="Times New Roman" w:cs="Times New Roman"/>
          <w:sz w:val="24"/>
          <w:szCs w:val="24"/>
        </w:rPr>
        <w:t xml:space="preserve">. </w:t>
      </w:r>
      <w:r w:rsidR="003F72E3" w:rsidRPr="002074B6">
        <w:rPr>
          <w:rFonts w:ascii="Times New Roman" w:eastAsia="Times New Roman" w:hAnsi="Times New Roman" w:cs="Times New Roman"/>
          <w:sz w:val="24"/>
          <w:szCs w:val="24"/>
        </w:rPr>
        <w:t>2022.</w:t>
      </w:r>
      <w:r w:rsidR="007F29A3">
        <w:rPr>
          <w:rFonts w:ascii="Times New Roman" w:eastAsia="Times New Roman" w:hAnsi="Times New Roman" w:cs="Times New Roman"/>
          <w:sz w:val="24"/>
          <w:szCs w:val="24"/>
        </w:rPr>
        <w:t> </w:t>
      </w:r>
      <w:r w:rsidR="003F72E3" w:rsidRPr="002074B6">
        <w:rPr>
          <w:rFonts w:ascii="Times New Roman" w:eastAsia="Times New Roman" w:hAnsi="Times New Roman" w:cs="Times New Roman"/>
          <w:sz w:val="24"/>
          <w:szCs w:val="24"/>
        </w:rPr>
        <w:t xml:space="preserve">gadā </w:t>
      </w:r>
      <w:r w:rsidR="003F72E3">
        <w:rPr>
          <w:rFonts w:ascii="Times New Roman" w:eastAsia="Times New Roman" w:hAnsi="Times New Roman" w:cs="Times New Roman"/>
          <w:sz w:val="24"/>
          <w:szCs w:val="24"/>
        </w:rPr>
        <w:t>a</w:t>
      </w:r>
      <w:r w:rsidRPr="002074B6">
        <w:rPr>
          <w:rFonts w:ascii="Times New Roman" w:eastAsia="Times New Roman" w:hAnsi="Times New Roman" w:cs="Times New Roman"/>
          <w:sz w:val="24"/>
          <w:szCs w:val="24"/>
        </w:rPr>
        <w:t xml:space="preserve">rī neatbilstošo partiju īpatsvars no pārbaudītajām </w:t>
      </w:r>
      <w:r w:rsidR="003F72E3">
        <w:rPr>
          <w:rFonts w:ascii="Times New Roman" w:eastAsia="Times New Roman" w:hAnsi="Times New Roman" w:cs="Times New Roman"/>
          <w:sz w:val="24"/>
          <w:szCs w:val="24"/>
        </w:rPr>
        <w:t xml:space="preserve">partijām </w:t>
      </w:r>
      <w:r w:rsidRPr="002074B6">
        <w:rPr>
          <w:rFonts w:ascii="Times New Roman" w:eastAsia="Times New Roman" w:hAnsi="Times New Roman" w:cs="Times New Roman"/>
          <w:sz w:val="24"/>
          <w:szCs w:val="24"/>
        </w:rPr>
        <w:t>kopš 2017.</w:t>
      </w:r>
      <w:r w:rsidR="003F72E3">
        <w:rPr>
          <w:rFonts w:ascii="Times New Roman" w:eastAsia="Times New Roman" w:hAnsi="Times New Roman" w:cs="Times New Roman"/>
          <w:sz w:val="24"/>
          <w:szCs w:val="24"/>
        </w:rPr>
        <w:t xml:space="preserve"> </w:t>
      </w:r>
      <w:r w:rsidRPr="002074B6">
        <w:rPr>
          <w:rFonts w:ascii="Times New Roman" w:eastAsia="Times New Roman" w:hAnsi="Times New Roman" w:cs="Times New Roman"/>
          <w:sz w:val="24"/>
          <w:szCs w:val="24"/>
        </w:rPr>
        <w:t xml:space="preserve">gada </w:t>
      </w:r>
      <w:r w:rsidR="003F72E3" w:rsidRPr="002074B6">
        <w:rPr>
          <w:rFonts w:ascii="Times New Roman" w:eastAsia="Times New Roman" w:hAnsi="Times New Roman" w:cs="Times New Roman"/>
          <w:sz w:val="24"/>
          <w:szCs w:val="24"/>
        </w:rPr>
        <w:t>ir</w:t>
      </w:r>
      <w:r w:rsidR="003F72E3">
        <w:rPr>
          <w:rFonts w:ascii="Times New Roman" w:eastAsia="Times New Roman" w:hAnsi="Times New Roman" w:cs="Times New Roman"/>
          <w:sz w:val="24"/>
          <w:szCs w:val="24"/>
        </w:rPr>
        <w:t xml:space="preserve"> </w:t>
      </w:r>
      <w:r w:rsidRPr="002074B6">
        <w:rPr>
          <w:rFonts w:ascii="Times New Roman" w:eastAsia="Times New Roman" w:hAnsi="Times New Roman" w:cs="Times New Roman"/>
          <w:sz w:val="24"/>
          <w:szCs w:val="24"/>
        </w:rPr>
        <w:t>samazinājies kopumā</w:t>
      </w:r>
      <w:r>
        <w:rPr>
          <w:rFonts w:ascii="Times New Roman" w:eastAsia="Times New Roman" w:hAnsi="Times New Roman" w:cs="Times New Roman"/>
          <w:sz w:val="24"/>
          <w:szCs w:val="24"/>
        </w:rPr>
        <w:t xml:space="preserve"> par </w:t>
      </w:r>
      <w:r w:rsidR="003F72E3">
        <w:rPr>
          <w:rFonts w:ascii="Times New Roman" w:eastAsia="Times New Roman" w:hAnsi="Times New Roman" w:cs="Times New Roman"/>
          <w:sz w:val="24"/>
          <w:szCs w:val="24"/>
        </w:rPr>
        <w:t xml:space="preserve">četriem </w:t>
      </w:r>
      <w:r>
        <w:rPr>
          <w:rFonts w:ascii="Times New Roman" w:eastAsia="Times New Roman" w:hAnsi="Times New Roman" w:cs="Times New Roman"/>
          <w:sz w:val="24"/>
          <w:szCs w:val="24"/>
        </w:rPr>
        <w:t>procentpunktiem.</w:t>
      </w:r>
      <w:r w:rsidR="003F72E3">
        <w:rPr>
          <w:rFonts w:ascii="Times New Roman" w:eastAsia="Times New Roman" w:hAnsi="Times New Roman" w:cs="Times New Roman"/>
          <w:sz w:val="24"/>
          <w:szCs w:val="24"/>
        </w:rPr>
        <w:t xml:space="preserve"> </w:t>
      </w:r>
      <w:r w:rsidR="003A1320" w:rsidRPr="0021494D">
        <w:rPr>
          <w:rFonts w:ascii="Times New Roman" w:eastAsia="Times New Roman" w:hAnsi="Times New Roman" w:cs="Times New Roman"/>
          <w:sz w:val="24"/>
          <w:szCs w:val="24"/>
        </w:rPr>
        <w:t xml:space="preserve">Tā kā konstatēto neatbilstību gadījumu skaits ir samazinājies </w:t>
      </w:r>
      <w:r w:rsidR="00205D3D">
        <w:rPr>
          <w:rFonts w:ascii="Times New Roman" w:eastAsia="Times New Roman" w:hAnsi="Times New Roman" w:cs="Times New Roman"/>
          <w:sz w:val="24"/>
          <w:szCs w:val="24"/>
        </w:rPr>
        <w:t xml:space="preserve">ievērojami </w:t>
      </w:r>
      <w:r w:rsidR="003F72E3">
        <w:rPr>
          <w:rFonts w:ascii="Times New Roman" w:eastAsia="Times New Roman" w:hAnsi="Times New Roman" w:cs="Times New Roman"/>
          <w:sz w:val="24"/>
          <w:szCs w:val="24"/>
        </w:rPr>
        <w:t>–</w:t>
      </w:r>
      <w:r w:rsidR="00205D3D">
        <w:rPr>
          <w:rFonts w:ascii="Times New Roman" w:eastAsia="Times New Roman" w:hAnsi="Times New Roman" w:cs="Times New Roman"/>
          <w:sz w:val="24"/>
          <w:szCs w:val="24"/>
        </w:rPr>
        <w:t xml:space="preserve"> </w:t>
      </w:r>
      <w:r w:rsidR="003A1320" w:rsidRPr="0021494D">
        <w:rPr>
          <w:rFonts w:ascii="Times New Roman" w:eastAsia="Times New Roman" w:hAnsi="Times New Roman" w:cs="Times New Roman"/>
          <w:sz w:val="24"/>
          <w:szCs w:val="24"/>
        </w:rPr>
        <w:t xml:space="preserve">par </w:t>
      </w:r>
      <w:r w:rsidR="0021494D" w:rsidRPr="0021494D">
        <w:rPr>
          <w:rFonts w:ascii="Times New Roman" w:eastAsia="Times New Roman" w:hAnsi="Times New Roman" w:cs="Times New Roman"/>
          <w:sz w:val="24"/>
          <w:szCs w:val="24"/>
        </w:rPr>
        <w:t>3</w:t>
      </w:r>
      <w:r w:rsidR="003A1320" w:rsidRPr="0021494D">
        <w:rPr>
          <w:rFonts w:ascii="Times New Roman" w:eastAsia="Times New Roman" w:hAnsi="Times New Roman" w:cs="Times New Roman"/>
          <w:sz w:val="24"/>
          <w:szCs w:val="24"/>
        </w:rPr>
        <w:t>0</w:t>
      </w:r>
      <w:r w:rsidR="003F72E3">
        <w:rPr>
          <w:rFonts w:ascii="Times New Roman" w:eastAsia="Times New Roman" w:hAnsi="Times New Roman" w:cs="Times New Roman"/>
          <w:sz w:val="24"/>
          <w:szCs w:val="24"/>
        </w:rPr>
        <w:t> </w:t>
      </w:r>
      <w:r w:rsidR="00205D3D">
        <w:rPr>
          <w:rFonts w:ascii="Times New Roman" w:eastAsia="Times New Roman" w:hAnsi="Times New Roman" w:cs="Times New Roman"/>
          <w:sz w:val="24"/>
          <w:szCs w:val="24"/>
        </w:rPr>
        <w:t>procentpunktiem</w:t>
      </w:r>
      <w:r w:rsidR="0021494D" w:rsidRPr="0021494D">
        <w:rPr>
          <w:rFonts w:ascii="Times New Roman" w:eastAsia="Times New Roman" w:hAnsi="Times New Roman" w:cs="Times New Roman"/>
          <w:sz w:val="24"/>
          <w:szCs w:val="24"/>
        </w:rPr>
        <w:t xml:space="preserve"> </w:t>
      </w:r>
      <w:r w:rsidR="003F72E3">
        <w:rPr>
          <w:rFonts w:ascii="Times New Roman" w:eastAsia="Times New Roman" w:hAnsi="Times New Roman" w:cs="Times New Roman"/>
          <w:sz w:val="24"/>
          <w:szCs w:val="24"/>
        </w:rPr>
        <w:t xml:space="preserve">– </w:t>
      </w:r>
      <w:r w:rsidR="0021494D" w:rsidRPr="0021494D">
        <w:rPr>
          <w:rFonts w:ascii="Times New Roman" w:eastAsia="Times New Roman" w:hAnsi="Times New Roman" w:cs="Times New Roman"/>
          <w:sz w:val="24"/>
          <w:szCs w:val="24"/>
        </w:rPr>
        <w:t xml:space="preserve">un neatbilstošu partiju skaits </w:t>
      </w:r>
      <w:r w:rsidR="003F72E3">
        <w:rPr>
          <w:rFonts w:ascii="Times New Roman" w:eastAsia="Times New Roman" w:hAnsi="Times New Roman" w:cs="Times New Roman"/>
          <w:sz w:val="24"/>
          <w:szCs w:val="24"/>
        </w:rPr>
        <w:t xml:space="preserve">– </w:t>
      </w:r>
      <w:r w:rsidR="0021494D" w:rsidRPr="0021494D">
        <w:rPr>
          <w:rFonts w:ascii="Times New Roman" w:eastAsia="Times New Roman" w:hAnsi="Times New Roman" w:cs="Times New Roman"/>
          <w:sz w:val="24"/>
          <w:szCs w:val="24"/>
        </w:rPr>
        <w:t xml:space="preserve">par </w:t>
      </w:r>
      <w:r w:rsidR="003F72E3">
        <w:rPr>
          <w:rFonts w:ascii="Times New Roman" w:eastAsia="Times New Roman" w:hAnsi="Times New Roman" w:cs="Times New Roman"/>
          <w:sz w:val="24"/>
          <w:szCs w:val="24"/>
        </w:rPr>
        <w:t>četriem</w:t>
      </w:r>
      <w:r w:rsidR="00205D3D">
        <w:rPr>
          <w:rFonts w:ascii="Times New Roman" w:eastAsia="Times New Roman" w:hAnsi="Times New Roman" w:cs="Times New Roman"/>
          <w:sz w:val="24"/>
          <w:szCs w:val="24"/>
        </w:rPr>
        <w:t xml:space="preserve"> procentpunktiem</w:t>
      </w:r>
      <w:r w:rsidR="003A1320" w:rsidRPr="0021494D">
        <w:rPr>
          <w:rFonts w:ascii="Times New Roman" w:eastAsia="Times New Roman" w:hAnsi="Times New Roman" w:cs="Times New Roman"/>
          <w:sz w:val="24"/>
          <w:szCs w:val="24"/>
        </w:rPr>
        <w:t xml:space="preserve">, var pieņemt, ka </w:t>
      </w:r>
      <w:r w:rsidR="003F72E3" w:rsidRPr="0021494D">
        <w:rPr>
          <w:rFonts w:ascii="Times New Roman" w:eastAsia="Times New Roman" w:hAnsi="Times New Roman" w:cs="Times New Roman"/>
          <w:sz w:val="24"/>
          <w:szCs w:val="24"/>
        </w:rPr>
        <w:t xml:space="preserve">augļu, ogu un dārzeņu tirdzniecībā </w:t>
      </w:r>
      <w:r w:rsidR="003A1320" w:rsidRPr="0021494D">
        <w:rPr>
          <w:rFonts w:ascii="Times New Roman" w:eastAsia="Times New Roman" w:hAnsi="Times New Roman" w:cs="Times New Roman"/>
          <w:sz w:val="24"/>
          <w:szCs w:val="24"/>
        </w:rPr>
        <w:t>ir mazināj</w:t>
      </w:r>
      <w:r w:rsidR="003F72E3">
        <w:rPr>
          <w:rFonts w:ascii="Times New Roman" w:eastAsia="Times New Roman" w:hAnsi="Times New Roman" w:cs="Times New Roman"/>
          <w:sz w:val="24"/>
          <w:szCs w:val="24"/>
        </w:rPr>
        <w:t>us</w:t>
      </w:r>
      <w:r w:rsidR="003A1320" w:rsidRPr="0021494D">
        <w:rPr>
          <w:rFonts w:ascii="Times New Roman" w:eastAsia="Times New Roman" w:hAnsi="Times New Roman" w:cs="Times New Roman"/>
          <w:sz w:val="24"/>
          <w:szCs w:val="24"/>
        </w:rPr>
        <w:t>ies ēnu ekonomika.</w:t>
      </w:r>
    </w:p>
    <w:p w14:paraId="6EF82C37" w14:textId="4573432D" w:rsidR="00A970DA" w:rsidRPr="00F02B63" w:rsidRDefault="003A1320" w:rsidP="00F02B63">
      <w:pPr>
        <w:tabs>
          <w:tab w:val="left" w:pos="1134"/>
        </w:tabs>
        <w:spacing w:after="0" w:line="240" w:lineRule="auto"/>
        <w:ind w:firstLine="709"/>
        <w:jc w:val="both"/>
        <w:rPr>
          <w:rFonts w:ascii="Times New Roman" w:eastAsia="Times New Roman" w:hAnsi="Times New Roman" w:cs="Times New Roman"/>
          <w:sz w:val="24"/>
          <w:szCs w:val="24"/>
        </w:rPr>
      </w:pPr>
      <w:r w:rsidRPr="00337751">
        <w:rPr>
          <w:rFonts w:ascii="Times New Roman" w:eastAsia="Times New Roman" w:hAnsi="Times New Roman" w:cs="Times New Roman"/>
          <w:sz w:val="24"/>
          <w:szCs w:val="24"/>
        </w:rPr>
        <w:t xml:space="preserve">PVD gan joprojām konstatē pārkāpumus, tāpēc nevar apgalvot, ka ēnu ekonomika augļu, ogu un dārzeņu tirdzniecībā ir pilnībā izskausta. </w:t>
      </w:r>
    </w:p>
    <w:p w14:paraId="62AC7714" w14:textId="7B4D43AD" w:rsidR="00F16D17" w:rsidRPr="00597187" w:rsidRDefault="00F16D17" w:rsidP="00F16D17">
      <w:pPr>
        <w:pStyle w:val="ListParagraph"/>
        <w:tabs>
          <w:tab w:val="left" w:pos="1134"/>
        </w:tabs>
        <w:spacing w:before="120" w:after="120" w:line="240" w:lineRule="auto"/>
        <w:ind w:left="0" w:firstLine="709"/>
        <w:contextualSpacing w:val="0"/>
        <w:jc w:val="both"/>
        <w:rPr>
          <w:rFonts w:ascii="Times New Roman" w:eastAsia="Times New Roman" w:hAnsi="Times New Roman" w:cs="Times New Roman"/>
          <w:sz w:val="24"/>
          <w:szCs w:val="24"/>
          <w:u w:val="single"/>
        </w:rPr>
      </w:pPr>
      <w:r w:rsidRPr="00597187">
        <w:rPr>
          <w:rFonts w:ascii="Times New Roman" w:eastAsia="Times New Roman" w:hAnsi="Times New Roman" w:cs="Times New Roman"/>
          <w:sz w:val="24"/>
          <w:szCs w:val="24"/>
          <w:u w:val="single"/>
        </w:rPr>
        <w:t xml:space="preserve">Reģistrēto PVN maksātāju </w:t>
      </w:r>
      <w:r w:rsidR="007F29A3">
        <w:rPr>
          <w:rFonts w:ascii="Times New Roman" w:eastAsia="Times New Roman" w:hAnsi="Times New Roman" w:cs="Times New Roman"/>
          <w:sz w:val="24"/>
          <w:szCs w:val="24"/>
          <w:u w:val="single"/>
        </w:rPr>
        <w:t>pār</w:t>
      </w:r>
      <w:r w:rsidRPr="00597187">
        <w:rPr>
          <w:rFonts w:ascii="Times New Roman" w:eastAsia="Times New Roman" w:hAnsi="Times New Roman" w:cs="Times New Roman"/>
          <w:sz w:val="24"/>
          <w:szCs w:val="24"/>
          <w:u w:val="single"/>
        </w:rPr>
        <w:t>maiņu dinamika</w:t>
      </w:r>
    </w:p>
    <w:p w14:paraId="681A6F37" w14:textId="389EECB5" w:rsidR="002A5C26" w:rsidRPr="00723C3E" w:rsidRDefault="00FC412C" w:rsidP="00723C3E">
      <w:pPr>
        <w:pStyle w:val="ListParagraph"/>
        <w:tabs>
          <w:tab w:val="left" w:pos="1134"/>
        </w:tabs>
        <w:spacing w:after="0" w:line="240" w:lineRule="auto"/>
        <w:ind w:left="0" w:firstLine="709"/>
        <w:contextualSpacing w:val="0"/>
        <w:jc w:val="both"/>
        <w:rPr>
          <w:rFonts w:ascii="Times New Roman" w:eastAsia="Times New Roman" w:hAnsi="Times New Roman" w:cs="Times New Roman"/>
          <w:sz w:val="24"/>
          <w:szCs w:val="24"/>
        </w:rPr>
      </w:pPr>
      <w:r w:rsidRPr="00723C3E">
        <w:rPr>
          <w:rFonts w:ascii="Times New Roman" w:eastAsia="Times New Roman" w:hAnsi="Times New Roman" w:cs="Times New Roman"/>
          <w:sz w:val="24"/>
          <w:szCs w:val="24"/>
        </w:rPr>
        <w:t xml:space="preserve">Arī Valsts ieņēmumu dienesta informācija par reģistrēto PVN maksātāju </w:t>
      </w:r>
      <w:r w:rsidR="007F29A3">
        <w:rPr>
          <w:rFonts w:ascii="Times New Roman" w:eastAsia="Times New Roman" w:hAnsi="Times New Roman" w:cs="Times New Roman"/>
          <w:sz w:val="24"/>
          <w:szCs w:val="24"/>
        </w:rPr>
        <w:t>pār</w:t>
      </w:r>
      <w:r w:rsidR="002A5C26" w:rsidRPr="00723C3E">
        <w:rPr>
          <w:rFonts w:ascii="Times New Roman" w:eastAsia="Times New Roman" w:hAnsi="Times New Roman" w:cs="Times New Roman"/>
          <w:sz w:val="24"/>
          <w:szCs w:val="24"/>
        </w:rPr>
        <w:t>maiņu dinamiku liecina, ka mazinās uzņēmēju darbošanās ēnu ekonomikā darījumos ar svaigiem augļiem, ogām un dārzeņiem.</w:t>
      </w:r>
    </w:p>
    <w:p w14:paraId="3275B40C" w14:textId="750078FB" w:rsidR="00A72904" w:rsidRPr="00734F1A" w:rsidRDefault="002A5C26" w:rsidP="00BA20FD">
      <w:pPr>
        <w:tabs>
          <w:tab w:val="left" w:pos="1134"/>
        </w:tabs>
        <w:spacing w:after="0" w:line="240" w:lineRule="auto"/>
        <w:ind w:firstLine="709"/>
        <w:jc w:val="both"/>
        <w:rPr>
          <w:rFonts w:ascii="Times New Roman" w:eastAsia="Times New Roman" w:hAnsi="Times New Roman" w:cs="Times New Roman"/>
          <w:sz w:val="20"/>
          <w:szCs w:val="20"/>
        </w:rPr>
      </w:pPr>
      <w:r w:rsidRPr="00723C3E">
        <w:rPr>
          <w:rFonts w:ascii="Times New Roman" w:eastAsia="Times New Roman" w:hAnsi="Times New Roman" w:cs="Times New Roman"/>
          <w:sz w:val="24"/>
          <w:szCs w:val="24"/>
        </w:rPr>
        <w:t xml:space="preserve">Ir novērojams, ka </w:t>
      </w:r>
      <w:r w:rsidR="00A72904" w:rsidRPr="00723C3E">
        <w:rPr>
          <w:rFonts w:ascii="Times New Roman" w:eastAsia="Times New Roman" w:hAnsi="Times New Roman" w:cs="Times New Roman"/>
          <w:sz w:val="24"/>
          <w:szCs w:val="24"/>
        </w:rPr>
        <w:t xml:space="preserve">augļkopības un dārzeņkopības nozarē </w:t>
      </w:r>
      <w:r w:rsidR="009975E3" w:rsidRPr="00723C3E">
        <w:rPr>
          <w:rFonts w:ascii="Times New Roman" w:eastAsia="Times New Roman" w:hAnsi="Times New Roman" w:cs="Times New Roman"/>
          <w:sz w:val="24"/>
          <w:szCs w:val="24"/>
        </w:rPr>
        <w:t xml:space="preserve">ik gadu </w:t>
      </w:r>
      <w:r w:rsidR="009975E3" w:rsidRPr="00DB3CBD">
        <w:rPr>
          <w:rFonts w:ascii="Times New Roman" w:eastAsia="Times New Roman" w:hAnsi="Times New Roman" w:cs="Times New Roman"/>
          <w:sz w:val="24"/>
          <w:szCs w:val="24"/>
        </w:rPr>
        <w:t xml:space="preserve">palielinās </w:t>
      </w:r>
      <w:r w:rsidR="009975E3" w:rsidRPr="00723C3E">
        <w:rPr>
          <w:rFonts w:ascii="Times New Roman" w:eastAsia="Times New Roman" w:hAnsi="Times New Roman" w:cs="Times New Roman"/>
          <w:sz w:val="24"/>
          <w:szCs w:val="24"/>
        </w:rPr>
        <w:t xml:space="preserve">reģistrēto nodokļu maksātāju skaits </w:t>
      </w:r>
      <w:r w:rsidR="00A72904" w:rsidRPr="00DB3CBD">
        <w:rPr>
          <w:rFonts w:ascii="Times New Roman" w:eastAsia="Times New Roman" w:hAnsi="Times New Roman" w:cs="Times New Roman"/>
          <w:sz w:val="24"/>
          <w:szCs w:val="24"/>
        </w:rPr>
        <w:t>(</w:t>
      </w:r>
      <w:r w:rsidR="00DB3CBD" w:rsidRPr="00DB3CBD">
        <w:rPr>
          <w:rFonts w:ascii="Times New Roman" w:eastAsia="Times New Roman" w:hAnsi="Times New Roman" w:cs="Times New Roman"/>
          <w:sz w:val="24"/>
          <w:szCs w:val="24"/>
        </w:rPr>
        <w:t>5</w:t>
      </w:r>
      <w:r w:rsidR="00A72904" w:rsidRPr="00DB3CBD">
        <w:rPr>
          <w:rFonts w:ascii="Times New Roman" w:eastAsia="Times New Roman" w:hAnsi="Times New Roman" w:cs="Times New Roman"/>
          <w:sz w:val="24"/>
          <w:szCs w:val="24"/>
        </w:rPr>
        <w:t>.</w:t>
      </w:r>
      <w:r w:rsidR="009975E3">
        <w:rPr>
          <w:rFonts w:ascii="Times New Roman" w:eastAsia="Times New Roman" w:hAnsi="Times New Roman" w:cs="Times New Roman"/>
          <w:sz w:val="24"/>
          <w:szCs w:val="24"/>
        </w:rPr>
        <w:t xml:space="preserve"> </w:t>
      </w:r>
      <w:r w:rsidR="00A72904" w:rsidRPr="00DB3CBD">
        <w:rPr>
          <w:rFonts w:ascii="Times New Roman" w:eastAsia="Times New Roman" w:hAnsi="Times New Roman" w:cs="Times New Roman"/>
          <w:sz w:val="24"/>
          <w:szCs w:val="24"/>
        </w:rPr>
        <w:t>attēls).</w:t>
      </w:r>
    </w:p>
    <w:p w14:paraId="6A875E24" w14:textId="6E6B3711" w:rsidR="00240CC4" w:rsidRDefault="004C13B0" w:rsidP="00DB3CBD">
      <w:pPr>
        <w:pStyle w:val="ListParagraph"/>
        <w:tabs>
          <w:tab w:val="left" w:pos="1134"/>
        </w:tabs>
        <w:spacing w:before="120" w:after="120" w:line="240" w:lineRule="auto"/>
        <w:ind w:left="0"/>
        <w:jc w:val="both"/>
        <w:rPr>
          <w:rFonts w:ascii="Times New Roman" w:eastAsia="Times New Roman" w:hAnsi="Times New Roman" w:cs="Times New Roman"/>
          <w:sz w:val="24"/>
          <w:szCs w:val="24"/>
          <w:highlight w:val="yellow"/>
        </w:rPr>
      </w:pPr>
      <w:r>
        <w:rPr>
          <w:noProof/>
          <w:lang w:eastAsia="lv-LV"/>
        </w:rPr>
        <w:lastRenderedPageBreak/>
        <w:drawing>
          <wp:inline distT="0" distB="0" distL="0" distR="0" wp14:anchorId="222C8069" wp14:editId="792A997A">
            <wp:extent cx="5829300" cy="3286125"/>
            <wp:effectExtent l="0" t="0" r="0" b="9525"/>
            <wp:docPr id="24" name="Chart 24">
              <a:extLst xmlns:a="http://schemas.openxmlformats.org/drawingml/2006/main">
                <a:ext uri="{FF2B5EF4-FFF2-40B4-BE49-F238E27FC236}">
                  <a16:creationId xmlns:a16="http://schemas.microsoft.com/office/drawing/2014/main" id="{FCE7DCC5-03C9-13E6-0222-EF649D4E6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DDC002" w14:textId="35D66B5F" w:rsidR="00240CC4" w:rsidRPr="00240CC4" w:rsidRDefault="00DB3CBD" w:rsidP="00240CC4">
      <w:pPr>
        <w:spacing w:after="0" w:line="240" w:lineRule="auto"/>
        <w:ind w:firstLine="851"/>
        <w:rPr>
          <w:rFonts w:ascii="Times New Roman" w:hAnsi="Times New Roman" w:cs="Times New Roman"/>
          <w:sz w:val="24"/>
          <w:szCs w:val="24"/>
        </w:rPr>
      </w:pPr>
      <w:r w:rsidRPr="00DB3CBD">
        <w:rPr>
          <w:rFonts w:ascii="Times New Roman" w:hAnsi="Times New Roman" w:cs="Times New Roman"/>
          <w:sz w:val="24"/>
          <w:szCs w:val="24"/>
        </w:rPr>
        <w:t>5</w:t>
      </w:r>
      <w:r w:rsidR="00240CC4" w:rsidRPr="00DB3CBD">
        <w:rPr>
          <w:rFonts w:ascii="Times New Roman" w:hAnsi="Times New Roman" w:cs="Times New Roman"/>
          <w:sz w:val="24"/>
          <w:szCs w:val="24"/>
        </w:rPr>
        <w:t>.</w:t>
      </w:r>
      <w:r w:rsidR="003F72E3">
        <w:rPr>
          <w:rFonts w:ascii="Times New Roman" w:hAnsi="Times New Roman" w:cs="Times New Roman"/>
          <w:sz w:val="24"/>
          <w:szCs w:val="24"/>
        </w:rPr>
        <w:t> </w:t>
      </w:r>
      <w:r w:rsidR="00240CC4" w:rsidRPr="00DB3CBD">
        <w:rPr>
          <w:rFonts w:ascii="Times New Roman" w:hAnsi="Times New Roman" w:cs="Times New Roman"/>
          <w:sz w:val="24"/>
          <w:szCs w:val="24"/>
        </w:rPr>
        <w:t xml:space="preserve">attēls. </w:t>
      </w:r>
      <w:r w:rsidR="00240CC4" w:rsidRPr="00240CC4">
        <w:rPr>
          <w:rFonts w:ascii="Times New Roman" w:hAnsi="Times New Roman" w:cs="Times New Roman"/>
          <w:sz w:val="24"/>
          <w:szCs w:val="24"/>
        </w:rPr>
        <w:t>Reģistrēto nodokļu maksātāju skaits PVN maksātāju reģistrā no 2017.</w:t>
      </w:r>
      <w:r w:rsidR="003F72E3">
        <w:rPr>
          <w:rFonts w:ascii="Times New Roman" w:hAnsi="Times New Roman" w:cs="Times New Roman"/>
          <w:sz w:val="24"/>
          <w:szCs w:val="24"/>
        </w:rPr>
        <w:t> </w:t>
      </w:r>
      <w:r w:rsidR="00240CC4" w:rsidRPr="00240CC4">
        <w:rPr>
          <w:rFonts w:ascii="Times New Roman" w:hAnsi="Times New Roman" w:cs="Times New Roman"/>
          <w:sz w:val="24"/>
          <w:szCs w:val="24"/>
        </w:rPr>
        <w:t>gada 1.</w:t>
      </w:r>
      <w:r w:rsidR="003F72E3">
        <w:rPr>
          <w:rFonts w:ascii="Times New Roman" w:hAnsi="Times New Roman" w:cs="Times New Roman"/>
          <w:sz w:val="24"/>
          <w:szCs w:val="24"/>
        </w:rPr>
        <w:t> </w:t>
      </w:r>
      <w:r w:rsidR="00240CC4" w:rsidRPr="00240CC4">
        <w:rPr>
          <w:rFonts w:ascii="Times New Roman" w:hAnsi="Times New Roman" w:cs="Times New Roman"/>
          <w:sz w:val="24"/>
          <w:szCs w:val="24"/>
        </w:rPr>
        <w:t>janvāra līdz 202</w:t>
      </w:r>
      <w:r w:rsidR="00240CC4">
        <w:rPr>
          <w:rFonts w:ascii="Times New Roman" w:hAnsi="Times New Roman" w:cs="Times New Roman"/>
          <w:sz w:val="24"/>
          <w:szCs w:val="24"/>
        </w:rPr>
        <w:t>3</w:t>
      </w:r>
      <w:r w:rsidR="00240CC4" w:rsidRPr="00240CC4">
        <w:rPr>
          <w:rFonts w:ascii="Times New Roman" w:hAnsi="Times New Roman" w:cs="Times New Roman"/>
          <w:sz w:val="24"/>
          <w:szCs w:val="24"/>
        </w:rPr>
        <w:t>.</w:t>
      </w:r>
      <w:r w:rsidR="003F72E3">
        <w:rPr>
          <w:rFonts w:ascii="Times New Roman" w:hAnsi="Times New Roman" w:cs="Times New Roman"/>
          <w:sz w:val="24"/>
          <w:szCs w:val="24"/>
        </w:rPr>
        <w:t xml:space="preserve"> </w:t>
      </w:r>
      <w:r w:rsidR="00240CC4" w:rsidRPr="00240CC4">
        <w:rPr>
          <w:rFonts w:ascii="Times New Roman" w:hAnsi="Times New Roman" w:cs="Times New Roman"/>
          <w:sz w:val="24"/>
          <w:szCs w:val="24"/>
        </w:rPr>
        <w:t>gada 1.</w:t>
      </w:r>
      <w:r w:rsidR="003F72E3">
        <w:rPr>
          <w:rFonts w:ascii="Times New Roman" w:hAnsi="Times New Roman" w:cs="Times New Roman"/>
          <w:sz w:val="24"/>
          <w:szCs w:val="24"/>
        </w:rPr>
        <w:t xml:space="preserve"> </w:t>
      </w:r>
      <w:r w:rsidR="00240CC4" w:rsidRPr="00240CC4">
        <w:rPr>
          <w:rFonts w:ascii="Times New Roman" w:hAnsi="Times New Roman" w:cs="Times New Roman"/>
          <w:sz w:val="24"/>
          <w:szCs w:val="24"/>
        </w:rPr>
        <w:t>jūnijam</w:t>
      </w:r>
      <w:r>
        <w:rPr>
          <w:rFonts w:ascii="Times New Roman" w:hAnsi="Times New Roman" w:cs="Times New Roman"/>
          <w:sz w:val="24"/>
          <w:szCs w:val="24"/>
        </w:rPr>
        <w:t>.</w:t>
      </w:r>
    </w:p>
    <w:p w14:paraId="061C1314" w14:textId="77777777" w:rsidR="00240CC4" w:rsidRPr="00734F1A" w:rsidRDefault="00240CC4" w:rsidP="00240CC4">
      <w:pPr>
        <w:tabs>
          <w:tab w:val="left" w:pos="1134"/>
        </w:tabs>
        <w:spacing w:after="120" w:line="240" w:lineRule="auto"/>
        <w:ind w:firstLine="709"/>
        <w:jc w:val="both"/>
        <w:rPr>
          <w:rFonts w:ascii="Times New Roman" w:eastAsia="Times New Roman" w:hAnsi="Times New Roman" w:cs="Times New Roman"/>
          <w:sz w:val="20"/>
          <w:szCs w:val="20"/>
        </w:rPr>
      </w:pPr>
      <w:r w:rsidRPr="00240CC4">
        <w:rPr>
          <w:rFonts w:ascii="Times New Roman" w:eastAsia="Times New Roman" w:hAnsi="Times New Roman" w:cs="Times New Roman"/>
          <w:i/>
          <w:sz w:val="20"/>
          <w:szCs w:val="20"/>
        </w:rPr>
        <w:t xml:space="preserve">Datu avots: </w:t>
      </w:r>
      <w:r w:rsidRPr="00240CC4">
        <w:rPr>
          <w:rFonts w:ascii="Times New Roman" w:eastAsia="Times New Roman" w:hAnsi="Times New Roman" w:cs="Times New Roman"/>
          <w:sz w:val="20"/>
          <w:szCs w:val="20"/>
        </w:rPr>
        <w:t>Zemkopības ministrija pēc VID datiem</w:t>
      </w:r>
    </w:p>
    <w:p w14:paraId="3EBED487" w14:textId="002F0AC0" w:rsidR="00B452A8" w:rsidRPr="00B452A8" w:rsidRDefault="00652643" w:rsidP="00FE0D2A">
      <w:pPr>
        <w:pStyle w:val="ListParagraph"/>
        <w:tabs>
          <w:tab w:val="left" w:pos="1134"/>
        </w:tabs>
        <w:spacing w:after="0" w:line="240" w:lineRule="auto"/>
        <w:ind w:left="0" w:firstLine="709"/>
        <w:contextualSpacing w:val="0"/>
        <w:jc w:val="both"/>
        <w:rPr>
          <w:rFonts w:ascii="Times New Roman" w:eastAsia="Times New Roman" w:hAnsi="Times New Roman" w:cs="Times New Roman"/>
          <w:sz w:val="24"/>
          <w:szCs w:val="24"/>
        </w:rPr>
      </w:pPr>
      <w:r w:rsidRPr="004C13B0">
        <w:rPr>
          <w:rFonts w:ascii="Times New Roman" w:eastAsia="Times New Roman" w:hAnsi="Times New Roman" w:cs="Times New Roman"/>
          <w:sz w:val="24"/>
          <w:szCs w:val="24"/>
        </w:rPr>
        <w:t xml:space="preserve">Kopš </w:t>
      </w:r>
      <w:r w:rsidR="004C13B0" w:rsidRPr="004C13B0">
        <w:rPr>
          <w:rFonts w:ascii="Times New Roman" w:eastAsia="Times New Roman" w:hAnsi="Times New Roman" w:cs="Times New Roman"/>
          <w:sz w:val="24"/>
          <w:szCs w:val="24"/>
        </w:rPr>
        <w:t xml:space="preserve">samazinātās </w:t>
      </w:r>
      <w:r w:rsidR="003F72E3" w:rsidRPr="004C13B0">
        <w:rPr>
          <w:rFonts w:ascii="Times New Roman" w:eastAsia="Times New Roman" w:hAnsi="Times New Roman" w:cs="Times New Roman"/>
          <w:sz w:val="24"/>
          <w:szCs w:val="24"/>
        </w:rPr>
        <w:t xml:space="preserve">PVN </w:t>
      </w:r>
      <w:r w:rsidR="004C13B0" w:rsidRPr="004C13B0">
        <w:rPr>
          <w:rFonts w:ascii="Times New Roman" w:eastAsia="Times New Roman" w:hAnsi="Times New Roman" w:cs="Times New Roman"/>
          <w:sz w:val="24"/>
          <w:szCs w:val="24"/>
        </w:rPr>
        <w:t>likmes 5</w:t>
      </w:r>
      <w:r w:rsidR="00600975">
        <w:rPr>
          <w:rFonts w:ascii="Times New Roman" w:eastAsia="Times New Roman" w:hAnsi="Times New Roman" w:cs="Times New Roman"/>
          <w:sz w:val="24"/>
          <w:szCs w:val="24"/>
        </w:rPr>
        <w:t> </w:t>
      </w:r>
      <w:r w:rsidR="004C13B0" w:rsidRPr="004C13B0">
        <w:rPr>
          <w:rFonts w:ascii="Times New Roman" w:eastAsia="Times New Roman" w:hAnsi="Times New Roman" w:cs="Times New Roman"/>
          <w:sz w:val="24"/>
          <w:szCs w:val="24"/>
        </w:rPr>
        <w:t>% apmērā ieviešanas PVN maksātāju reģistrā reģistrēto augļu, ogu un dārzeņu audzētāju</w:t>
      </w:r>
      <w:r w:rsidR="00805948">
        <w:rPr>
          <w:rFonts w:ascii="Times New Roman" w:eastAsia="Times New Roman" w:hAnsi="Times New Roman" w:cs="Times New Roman"/>
          <w:sz w:val="24"/>
          <w:szCs w:val="24"/>
        </w:rPr>
        <w:t xml:space="preserve"> un </w:t>
      </w:r>
      <w:r w:rsidR="000C1E81">
        <w:rPr>
          <w:rFonts w:ascii="Times New Roman" w:eastAsia="Times New Roman" w:hAnsi="Times New Roman" w:cs="Times New Roman"/>
          <w:sz w:val="24"/>
          <w:szCs w:val="24"/>
        </w:rPr>
        <w:t>augļu un dārzeņu pārstrādes uzņēmumu</w:t>
      </w:r>
      <w:r w:rsidR="004C13B0" w:rsidRPr="004C13B0">
        <w:rPr>
          <w:rFonts w:ascii="Times New Roman" w:eastAsia="Times New Roman" w:hAnsi="Times New Roman" w:cs="Times New Roman"/>
          <w:sz w:val="24"/>
          <w:szCs w:val="24"/>
        </w:rPr>
        <w:t xml:space="preserve"> skaits no 473 audzētājiem 2017.</w:t>
      </w:r>
      <w:r w:rsidR="00600975">
        <w:rPr>
          <w:rFonts w:ascii="Times New Roman" w:eastAsia="Times New Roman" w:hAnsi="Times New Roman" w:cs="Times New Roman"/>
          <w:sz w:val="24"/>
          <w:szCs w:val="24"/>
        </w:rPr>
        <w:t> </w:t>
      </w:r>
      <w:r w:rsidR="004C13B0" w:rsidRPr="004C13B0">
        <w:rPr>
          <w:rFonts w:ascii="Times New Roman" w:eastAsia="Times New Roman" w:hAnsi="Times New Roman" w:cs="Times New Roman"/>
          <w:sz w:val="24"/>
          <w:szCs w:val="24"/>
        </w:rPr>
        <w:t>gada 1.</w:t>
      </w:r>
      <w:r w:rsidR="00600975">
        <w:rPr>
          <w:rFonts w:ascii="Times New Roman" w:eastAsia="Times New Roman" w:hAnsi="Times New Roman" w:cs="Times New Roman"/>
          <w:sz w:val="24"/>
          <w:szCs w:val="24"/>
        </w:rPr>
        <w:t> </w:t>
      </w:r>
      <w:r w:rsidR="004C13B0" w:rsidRPr="004C13B0">
        <w:rPr>
          <w:rFonts w:ascii="Times New Roman" w:eastAsia="Times New Roman" w:hAnsi="Times New Roman" w:cs="Times New Roman"/>
          <w:sz w:val="24"/>
          <w:szCs w:val="24"/>
        </w:rPr>
        <w:t>janvārī ir palielinājies</w:t>
      </w:r>
      <w:r w:rsidR="004C13B0" w:rsidRPr="004C13B0" w:rsidDel="00EE6D07">
        <w:rPr>
          <w:rFonts w:ascii="Times New Roman" w:eastAsia="Times New Roman" w:hAnsi="Times New Roman" w:cs="Times New Roman"/>
          <w:sz w:val="24"/>
          <w:szCs w:val="24"/>
        </w:rPr>
        <w:t xml:space="preserve"> </w:t>
      </w:r>
      <w:r w:rsidR="004C13B0" w:rsidRPr="004C13B0">
        <w:rPr>
          <w:rFonts w:ascii="Times New Roman" w:eastAsia="Times New Roman" w:hAnsi="Times New Roman" w:cs="Times New Roman"/>
          <w:sz w:val="24"/>
          <w:szCs w:val="24"/>
        </w:rPr>
        <w:t>līdz 559 audzētājiem 2023</w:t>
      </w:r>
      <w:r w:rsidR="004C13B0" w:rsidRPr="003F4499">
        <w:rPr>
          <w:rFonts w:ascii="Times New Roman" w:eastAsia="Times New Roman" w:hAnsi="Times New Roman" w:cs="Times New Roman"/>
          <w:sz w:val="24"/>
          <w:szCs w:val="24"/>
        </w:rPr>
        <w:t>.</w:t>
      </w:r>
      <w:r w:rsidR="00600975" w:rsidRPr="003F4499">
        <w:rPr>
          <w:rFonts w:ascii="Times New Roman" w:eastAsia="Times New Roman" w:hAnsi="Times New Roman" w:cs="Times New Roman"/>
          <w:sz w:val="24"/>
          <w:szCs w:val="24"/>
        </w:rPr>
        <w:t> </w:t>
      </w:r>
      <w:r w:rsidR="004C13B0" w:rsidRPr="003F4499">
        <w:rPr>
          <w:rFonts w:ascii="Times New Roman" w:eastAsia="Times New Roman" w:hAnsi="Times New Roman" w:cs="Times New Roman"/>
          <w:sz w:val="24"/>
          <w:szCs w:val="24"/>
        </w:rPr>
        <w:t>gada 1.</w:t>
      </w:r>
      <w:r w:rsidR="00600975" w:rsidRPr="003F4499">
        <w:rPr>
          <w:rFonts w:ascii="Times New Roman" w:eastAsia="Times New Roman" w:hAnsi="Times New Roman" w:cs="Times New Roman"/>
          <w:sz w:val="24"/>
          <w:szCs w:val="24"/>
        </w:rPr>
        <w:t> </w:t>
      </w:r>
      <w:r w:rsidR="004C13B0" w:rsidRPr="003F4499">
        <w:rPr>
          <w:rFonts w:ascii="Times New Roman" w:eastAsia="Times New Roman" w:hAnsi="Times New Roman" w:cs="Times New Roman"/>
          <w:sz w:val="24"/>
          <w:szCs w:val="24"/>
        </w:rPr>
        <w:t xml:space="preserve">jūnijā. </w:t>
      </w:r>
      <w:r w:rsidR="003F72E3">
        <w:rPr>
          <w:rFonts w:ascii="Times New Roman" w:eastAsia="Times New Roman" w:hAnsi="Times New Roman" w:cs="Times New Roman"/>
          <w:sz w:val="24"/>
          <w:szCs w:val="24"/>
        </w:rPr>
        <w:t>Tādējādi</w:t>
      </w:r>
      <w:r w:rsidR="004C13B0" w:rsidRPr="003F4499">
        <w:rPr>
          <w:rFonts w:ascii="Times New Roman" w:eastAsia="Times New Roman" w:hAnsi="Times New Roman" w:cs="Times New Roman"/>
          <w:sz w:val="24"/>
          <w:szCs w:val="24"/>
        </w:rPr>
        <w:t xml:space="preserve"> kopumā PVN maksātāju reģistrā reģistrēto augļu, ogu un dārzeņu audzētāju</w:t>
      </w:r>
      <w:r w:rsidR="000C1E81">
        <w:rPr>
          <w:rFonts w:ascii="Times New Roman" w:eastAsia="Times New Roman" w:hAnsi="Times New Roman" w:cs="Times New Roman"/>
          <w:sz w:val="24"/>
          <w:szCs w:val="24"/>
        </w:rPr>
        <w:t xml:space="preserve"> un augļu un dārzeņu pārstrādes uzņēmumu</w:t>
      </w:r>
      <w:r w:rsidR="004C13B0" w:rsidRPr="003F4499">
        <w:rPr>
          <w:rFonts w:ascii="Times New Roman" w:eastAsia="Times New Roman" w:hAnsi="Times New Roman" w:cs="Times New Roman"/>
          <w:sz w:val="24"/>
          <w:szCs w:val="24"/>
        </w:rPr>
        <w:t xml:space="preserve"> skaits no 2017.</w:t>
      </w:r>
      <w:r w:rsidR="00600975" w:rsidRPr="003F4499">
        <w:rPr>
          <w:rFonts w:ascii="Times New Roman" w:eastAsia="Times New Roman" w:hAnsi="Times New Roman" w:cs="Times New Roman"/>
          <w:sz w:val="24"/>
          <w:szCs w:val="24"/>
        </w:rPr>
        <w:t> </w:t>
      </w:r>
      <w:r w:rsidR="004C13B0" w:rsidRPr="003F4499">
        <w:rPr>
          <w:rFonts w:ascii="Times New Roman" w:eastAsia="Times New Roman" w:hAnsi="Times New Roman" w:cs="Times New Roman"/>
          <w:sz w:val="24"/>
          <w:szCs w:val="24"/>
        </w:rPr>
        <w:t>gada 1.</w:t>
      </w:r>
      <w:r w:rsidR="00600975" w:rsidRPr="003F4499">
        <w:rPr>
          <w:rFonts w:ascii="Times New Roman" w:eastAsia="Times New Roman" w:hAnsi="Times New Roman" w:cs="Times New Roman"/>
          <w:sz w:val="24"/>
          <w:szCs w:val="24"/>
        </w:rPr>
        <w:t> </w:t>
      </w:r>
      <w:r w:rsidR="004C13B0" w:rsidRPr="003F4499">
        <w:rPr>
          <w:rFonts w:ascii="Times New Roman" w:eastAsia="Times New Roman" w:hAnsi="Times New Roman" w:cs="Times New Roman"/>
          <w:sz w:val="24"/>
          <w:szCs w:val="24"/>
        </w:rPr>
        <w:t>janvāra līdz 2020.</w:t>
      </w:r>
      <w:r w:rsidR="00600975" w:rsidRPr="003F4499">
        <w:rPr>
          <w:rFonts w:ascii="Times New Roman" w:eastAsia="Times New Roman" w:hAnsi="Times New Roman" w:cs="Times New Roman"/>
          <w:sz w:val="24"/>
          <w:szCs w:val="24"/>
        </w:rPr>
        <w:t> </w:t>
      </w:r>
      <w:r w:rsidR="004C13B0" w:rsidRPr="003F4499">
        <w:rPr>
          <w:rFonts w:ascii="Times New Roman" w:eastAsia="Times New Roman" w:hAnsi="Times New Roman" w:cs="Times New Roman"/>
          <w:sz w:val="24"/>
          <w:szCs w:val="24"/>
        </w:rPr>
        <w:t>gada 20.</w:t>
      </w:r>
      <w:r w:rsidR="00600975" w:rsidRPr="003F4499">
        <w:rPr>
          <w:rFonts w:ascii="Times New Roman" w:eastAsia="Times New Roman" w:hAnsi="Times New Roman" w:cs="Times New Roman"/>
          <w:sz w:val="24"/>
          <w:szCs w:val="24"/>
        </w:rPr>
        <w:t> </w:t>
      </w:r>
      <w:r w:rsidR="004C13B0" w:rsidRPr="003F4499">
        <w:rPr>
          <w:rFonts w:ascii="Times New Roman" w:eastAsia="Times New Roman" w:hAnsi="Times New Roman" w:cs="Times New Roman"/>
          <w:sz w:val="24"/>
          <w:szCs w:val="24"/>
        </w:rPr>
        <w:t xml:space="preserve">jūnijam ir pieaudzis par </w:t>
      </w:r>
      <w:r w:rsidR="00600975" w:rsidRPr="003F4499">
        <w:rPr>
          <w:rFonts w:ascii="Times New Roman" w:eastAsia="Times New Roman" w:hAnsi="Times New Roman" w:cs="Times New Roman"/>
          <w:sz w:val="24"/>
          <w:szCs w:val="24"/>
        </w:rPr>
        <w:t>18,2 </w:t>
      </w:r>
      <w:r w:rsidR="004C13B0" w:rsidRPr="00B452A8">
        <w:rPr>
          <w:rFonts w:ascii="Times New Roman" w:eastAsia="Times New Roman" w:hAnsi="Times New Roman" w:cs="Times New Roman"/>
          <w:sz w:val="24"/>
          <w:szCs w:val="24"/>
        </w:rPr>
        <w:t xml:space="preserve">%. Pretēji pozitīvai tendencei – augļu, ogu un dārzeņu ražotāju </w:t>
      </w:r>
      <w:r w:rsidR="000C1E81">
        <w:rPr>
          <w:rFonts w:ascii="Times New Roman" w:eastAsia="Times New Roman" w:hAnsi="Times New Roman" w:cs="Times New Roman"/>
          <w:sz w:val="24"/>
          <w:szCs w:val="24"/>
        </w:rPr>
        <w:t xml:space="preserve">un augļu un dārzeņu pārstrādes uzņēmumu </w:t>
      </w:r>
      <w:r w:rsidR="004C13B0" w:rsidRPr="00B452A8">
        <w:rPr>
          <w:rFonts w:ascii="Times New Roman" w:eastAsia="Times New Roman" w:hAnsi="Times New Roman" w:cs="Times New Roman"/>
          <w:sz w:val="24"/>
          <w:szCs w:val="24"/>
        </w:rPr>
        <w:t xml:space="preserve">skaita </w:t>
      </w:r>
      <w:r w:rsidR="003F72E3">
        <w:rPr>
          <w:rFonts w:ascii="Times New Roman" w:eastAsia="Times New Roman" w:hAnsi="Times New Roman" w:cs="Times New Roman"/>
          <w:sz w:val="24"/>
          <w:szCs w:val="24"/>
        </w:rPr>
        <w:t>kāp</w:t>
      </w:r>
      <w:r w:rsidR="004C13B0" w:rsidRPr="00B452A8">
        <w:rPr>
          <w:rFonts w:ascii="Times New Roman" w:eastAsia="Times New Roman" w:hAnsi="Times New Roman" w:cs="Times New Roman"/>
          <w:sz w:val="24"/>
          <w:szCs w:val="24"/>
        </w:rPr>
        <w:t>umam PVN maksātāju reģistrā – valstī kopumā reģistrēto nodokļ</w:t>
      </w:r>
      <w:r w:rsidR="003F72E3">
        <w:rPr>
          <w:rFonts w:ascii="Times New Roman" w:eastAsia="Times New Roman" w:hAnsi="Times New Roman" w:cs="Times New Roman"/>
          <w:sz w:val="24"/>
          <w:szCs w:val="24"/>
        </w:rPr>
        <w:t>u</w:t>
      </w:r>
      <w:r w:rsidR="004C13B0" w:rsidRPr="00B452A8">
        <w:rPr>
          <w:rFonts w:ascii="Times New Roman" w:eastAsia="Times New Roman" w:hAnsi="Times New Roman" w:cs="Times New Roman"/>
          <w:sz w:val="24"/>
          <w:szCs w:val="24"/>
        </w:rPr>
        <w:t xml:space="preserve"> maksātāju skaits </w:t>
      </w:r>
      <w:r w:rsidR="00600975" w:rsidRPr="00B452A8">
        <w:rPr>
          <w:rFonts w:ascii="Times New Roman" w:eastAsia="Times New Roman" w:hAnsi="Times New Roman" w:cs="Times New Roman"/>
          <w:sz w:val="24"/>
          <w:szCs w:val="24"/>
        </w:rPr>
        <w:t>kopš 2017.</w:t>
      </w:r>
      <w:r w:rsidR="003F72E3">
        <w:rPr>
          <w:rFonts w:ascii="Times New Roman" w:eastAsia="Times New Roman" w:hAnsi="Times New Roman" w:cs="Times New Roman"/>
          <w:sz w:val="24"/>
          <w:szCs w:val="24"/>
        </w:rPr>
        <w:t xml:space="preserve"> </w:t>
      </w:r>
      <w:r w:rsidR="00600975" w:rsidRPr="00B452A8">
        <w:rPr>
          <w:rFonts w:ascii="Times New Roman" w:eastAsia="Times New Roman" w:hAnsi="Times New Roman" w:cs="Times New Roman"/>
          <w:sz w:val="24"/>
          <w:szCs w:val="24"/>
        </w:rPr>
        <w:t>gada 1.</w:t>
      </w:r>
      <w:r w:rsidR="003F72E3">
        <w:rPr>
          <w:rFonts w:ascii="Times New Roman" w:eastAsia="Times New Roman" w:hAnsi="Times New Roman" w:cs="Times New Roman"/>
          <w:sz w:val="24"/>
          <w:szCs w:val="24"/>
        </w:rPr>
        <w:t xml:space="preserve"> </w:t>
      </w:r>
      <w:r w:rsidR="00600975" w:rsidRPr="00B452A8">
        <w:rPr>
          <w:rFonts w:ascii="Times New Roman" w:eastAsia="Times New Roman" w:hAnsi="Times New Roman" w:cs="Times New Roman"/>
          <w:sz w:val="24"/>
          <w:szCs w:val="24"/>
        </w:rPr>
        <w:t xml:space="preserve">janvāra ir samazinājies par </w:t>
      </w:r>
      <w:r w:rsidR="00E64A30" w:rsidRPr="00B452A8">
        <w:rPr>
          <w:rFonts w:ascii="Times New Roman" w:eastAsia="Times New Roman" w:hAnsi="Times New Roman" w:cs="Times New Roman"/>
          <w:sz w:val="24"/>
          <w:szCs w:val="24"/>
        </w:rPr>
        <w:t>6494 (no 89 681 PVN maksātāja 2017.</w:t>
      </w:r>
      <w:r w:rsidR="00B452A8">
        <w:rPr>
          <w:rFonts w:ascii="Times New Roman" w:eastAsia="Times New Roman" w:hAnsi="Times New Roman" w:cs="Times New Roman"/>
          <w:sz w:val="24"/>
          <w:szCs w:val="24"/>
        </w:rPr>
        <w:t> </w:t>
      </w:r>
      <w:r w:rsidR="00E64A30" w:rsidRPr="00B452A8">
        <w:rPr>
          <w:rFonts w:ascii="Times New Roman" w:eastAsia="Times New Roman" w:hAnsi="Times New Roman" w:cs="Times New Roman"/>
          <w:sz w:val="24"/>
          <w:szCs w:val="24"/>
        </w:rPr>
        <w:t>gada 1.</w:t>
      </w:r>
      <w:r w:rsidR="00B452A8">
        <w:rPr>
          <w:rFonts w:ascii="Times New Roman" w:eastAsia="Times New Roman" w:hAnsi="Times New Roman" w:cs="Times New Roman"/>
          <w:sz w:val="24"/>
          <w:szCs w:val="24"/>
        </w:rPr>
        <w:t> </w:t>
      </w:r>
      <w:r w:rsidR="00E64A30" w:rsidRPr="00B452A8">
        <w:rPr>
          <w:rFonts w:ascii="Times New Roman" w:eastAsia="Times New Roman" w:hAnsi="Times New Roman" w:cs="Times New Roman"/>
          <w:sz w:val="24"/>
          <w:szCs w:val="24"/>
        </w:rPr>
        <w:t xml:space="preserve">janvārī līdz </w:t>
      </w:r>
      <w:r w:rsidR="00B452A8" w:rsidRPr="00B452A8">
        <w:rPr>
          <w:rFonts w:ascii="Times New Roman" w:eastAsia="Times New Roman" w:hAnsi="Times New Roman" w:cs="Times New Roman"/>
          <w:sz w:val="24"/>
          <w:szCs w:val="24"/>
        </w:rPr>
        <w:t>83 187 PVN maksātājam 2023. gada 1. jūnijā) jeb 7,2</w:t>
      </w:r>
      <w:r w:rsidR="003F72E3">
        <w:rPr>
          <w:rFonts w:ascii="Times New Roman" w:eastAsia="Times New Roman" w:hAnsi="Times New Roman" w:cs="Times New Roman"/>
          <w:sz w:val="24"/>
          <w:szCs w:val="24"/>
        </w:rPr>
        <w:t xml:space="preserve"> </w:t>
      </w:r>
      <w:r w:rsidR="00B452A8" w:rsidRPr="00B452A8">
        <w:rPr>
          <w:rFonts w:ascii="Times New Roman" w:eastAsia="Times New Roman" w:hAnsi="Times New Roman" w:cs="Times New Roman"/>
          <w:sz w:val="24"/>
          <w:szCs w:val="24"/>
        </w:rPr>
        <w:t>%.</w:t>
      </w:r>
    </w:p>
    <w:p w14:paraId="76B36497" w14:textId="300B5C55" w:rsidR="00440070" w:rsidRDefault="003F72E3" w:rsidP="00506372">
      <w:pPr>
        <w:pStyle w:val="ListParagraph"/>
        <w:tabs>
          <w:tab w:val="left" w:pos="1134"/>
        </w:tabs>
        <w:spacing w:after="0" w:line="240" w:lineRule="auto"/>
        <w:ind w:left="0" w:firstLine="709"/>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392FC2" w:rsidRPr="007B13D1">
        <w:rPr>
          <w:rFonts w:ascii="Times New Roman" w:eastAsia="Times New Roman" w:hAnsi="Times New Roman" w:cs="Times New Roman"/>
          <w:sz w:val="24"/>
          <w:szCs w:val="24"/>
        </w:rPr>
        <w:t xml:space="preserve">āņem vērā, ka </w:t>
      </w:r>
      <w:r w:rsidRPr="007B13D1">
        <w:rPr>
          <w:rFonts w:ascii="Times New Roman" w:eastAsia="Times New Roman" w:hAnsi="Times New Roman" w:cs="Times New Roman"/>
          <w:sz w:val="24"/>
          <w:szCs w:val="24"/>
        </w:rPr>
        <w:t xml:space="preserve">samazinās </w:t>
      </w:r>
      <w:r w:rsidR="00392FC2" w:rsidRPr="007B13D1">
        <w:rPr>
          <w:rFonts w:ascii="Times New Roman" w:eastAsia="Times New Roman" w:hAnsi="Times New Roman" w:cs="Times New Roman"/>
          <w:sz w:val="24"/>
          <w:szCs w:val="24"/>
        </w:rPr>
        <w:t xml:space="preserve">arī PVN </w:t>
      </w:r>
      <w:r>
        <w:rPr>
          <w:rFonts w:ascii="Times New Roman" w:eastAsia="Times New Roman" w:hAnsi="Times New Roman" w:cs="Times New Roman"/>
          <w:sz w:val="24"/>
          <w:szCs w:val="24"/>
        </w:rPr>
        <w:t xml:space="preserve">maksātāju </w:t>
      </w:r>
      <w:r w:rsidR="00392FC2" w:rsidRPr="007B13D1">
        <w:rPr>
          <w:rFonts w:ascii="Times New Roman" w:eastAsia="Times New Roman" w:hAnsi="Times New Roman" w:cs="Times New Roman"/>
          <w:sz w:val="24"/>
          <w:szCs w:val="24"/>
        </w:rPr>
        <w:t xml:space="preserve">reģistrā reģistrēto augļu, ogu un dārzeņu vairumtirgotāju </w:t>
      </w:r>
      <w:r w:rsidR="005C31CA" w:rsidRPr="007B13D1">
        <w:rPr>
          <w:rFonts w:ascii="Times New Roman" w:eastAsia="Times New Roman" w:hAnsi="Times New Roman" w:cs="Times New Roman"/>
          <w:sz w:val="24"/>
          <w:szCs w:val="24"/>
        </w:rPr>
        <w:t xml:space="preserve">un mazumtirgotāju </w:t>
      </w:r>
      <w:r w:rsidR="00392FC2" w:rsidRPr="007B13D1">
        <w:rPr>
          <w:rFonts w:ascii="Times New Roman" w:eastAsia="Times New Roman" w:hAnsi="Times New Roman" w:cs="Times New Roman"/>
          <w:sz w:val="24"/>
          <w:szCs w:val="24"/>
        </w:rPr>
        <w:t>skaits</w:t>
      </w:r>
      <w:r w:rsidR="005C31CA" w:rsidRPr="007B13D1">
        <w:rPr>
          <w:rFonts w:ascii="Times New Roman" w:eastAsia="Times New Roman" w:hAnsi="Times New Roman" w:cs="Times New Roman"/>
          <w:sz w:val="24"/>
          <w:szCs w:val="24"/>
        </w:rPr>
        <w:t xml:space="preserve">. Kopumā </w:t>
      </w:r>
      <w:r w:rsidR="00805948" w:rsidRPr="007B13D1">
        <w:rPr>
          <w:rFonts w:ascii="Times New Roman" w:eastAsia="Times New Roman" w:hAnsi="Times New Roman" w:cs="Times New Roman"/>
          <w:sz w:val="24"/>
          <w:szCs w:val="24"/>
        </w:rPr>
        <w:t>PVN maksātāju reģistr</w:t>
      </w:r>
      <w:r w:rsidR="003D7BA6" w:rsidRPr="007B13D1">
        <w:rPr>
          <w:rFonts w:ascii="Times New Roman" w:eastAsia="Times New Roman" w:hAnsi="Times New Roman" w:cs="Times New Roman"/>
          <w:sz w:val="24"/>
          <w:szCs w:val="24"/>
        </w:rPr>
        <w:t>ā</w:t>
      </w:r>
      <w:r w:rsidR="00805948" w:rsidRPr="007B13D1">
        <w:rPr>
          <w:rFonts w:ascii="Times New Roman" w:eastAsia="Times New Roman" w:hAnsi="Times New Roman" w:cs="Times New Roman"/>
          <w:sz w:val="24"/>
          <w:szCs w:val="24"/>
        </w:rPr>
        <w:t xml:space="preserve"> reģistrēto</w:t>
      </w:r>
      <w:r w:rsidR="000E2964" w:rsidRPr="007B13D1">
        <w:rPr>
          <w:rFonts w:ascii="Times New Roman" w:eastAsia="Times New Roman" w:hAnsi="Times New Roman" w:cs="Times New Roman"/>
          <w:sz w:val="24"/>
          <w:szCs w:val="24"/>
        </w:rPr>
        <w:t xml:space="preserve"> augļu, ogu un dārzeņu vairumtirgotāju skaits</w:t>
      </w:r>
      <w:r w:rsidR="00E522ED" w:rsidRPr="007B13D1">
        <w:rPr>
          <w:rFonts w:ascii="Times New Roman" w:eastAsia="Times New Roman" w:hAnsi="Times New Roman" w:cs="Times New Roman"/>
          <w:sz w:val="24"/>
          <w:szCs w:val="24"/>
        </w:rPr>
        <w:t xml:space="preserve"> laikā no 2017. gada 1.</w:t>
      </w:r>
      <w:r>
        <w:rPr>
          <w:rFonts w:ascii="Times New Roman" w:eastAsia="Times New Roman" w:hAnsi="Times New Roman" w:cs="Times New Roman"/>
          <w:sz w:val="24"/>
          <w:szCs w:val="24"/>
        </w:rPr>
        <w:t xml:space="preserve"> </w:t>
      </w:r>
      <w:r w:rsidR="00E522ED" w:rsidRPr="007B13D1">
        <w:rPr>
          <w:rFonts w:ascii="Times New Roman" w:eastAsia="Times New Roman" w:hAnsi="Times New Roman" w:cs="Times New Roman"/>
          <w:sz w:val="24"/>
          <w:szCs w:val="24"/>
        </w:rPr>
        <w:t>janvārim līdz 2023.</w:t>
      </w:r>
      <w:r>
        <w:rPr>
          <w:rFonts w:ascii="Times New Roman" w:eastAsia="Times New Roman" w:hAnsi="Times New Roman" w:cs="Times New Roman"/>
          <w:sz w:val="24"/>
          <w:szCs w:val="24"/>
        </w:rPr>
        <w:t xml:space="preserve"> </w:t>
      </w:r>
      <w:r w:rsidR="00E522ED" w:rsidRPr="007B13D1">
        <w:rPr>
          <w:rFonts w:ascii="Times New Roman" w:eastAsia="Times New Roman" w:hAnsi="Times New Roman" w:cs="Times New Roman"/>
          <w:sz w:val="24"/>
          <w:szCs w:val="24"/>
        </w:rPr>
        <w:t>gada 1.</w:t>
      </w:r>
      <w:r>
        <w:rPr>
          <w:rFonts w:ascii="Times New Roman" w:eastAsia="Times New Roman" w:hAnsi="Times New Roman" w:cs="Times New Roman"/>
          <w:sz w:val="24"/>
          <w:szCs w:val="24"/>
        </w:rPr>
        <w:t> </w:t>
      </w:r>
      <w:r w:rsidR="00E522ED" w:rsidRPr="007B13D1">
        <w:rPr>
          <w:rFonts w:ascii="Times New Roman" w:eastAsia="Times New Roman" w:hAnsi="Times New Roman" w:cs="Times New Roman"/>
          <w:sz w:val="24"/>
          <w:szCs w:val="24"/>
        </w:rPr>
        <w:t xml:space="preserve">jūnijam ir samazinājies par </w:t>
      </w:r>
      <w:r w:rsidR="000E050F" w:rsidRPr="007B13D1">
        <w:rPr>
          <w:rFonts w:ascii="Times New Roman" w:eastAsia="Times New Roman" w:hAnsi="Times New Roman" w:cs="Times New Roman"/>
          <w:sz w:val="24"/>
          <w:szCs w:val="24"/>
        </w:rPr>
        <w:t xml:space="preserve">54 </w:t>
      </w:r>
      <w:r w:rsidR="007B13D1" w:rsidRPr="007B13D1">
        <w:rPr>
          <w:rFonts w:ascii="Times New Roman" w:eastAsia="Times New Roman" w:hAnsi="Times New Roman" w:cs="Times New Roman"/>
          <w:sz w:val="24"/>
          <w:szCs w:val="24"/>
        </w:rPr>
        <w:t>maksātājiem</w:t>
      </w:r>
      <w:r w:rsidR="000E050F" w:rsidRPr="007B13D1">
        <w:rPr>
          <w:rFonts w:ascii="Times New Roman" w:eastAsia="Times New Roman" w:hAnsi="Times New Roman" w:cs="Times New Roman"/>
          <w:sz w:val="24"/>
          <w:szCs w:val="24"/>
        </w:rPr>
        <w:t xml:space="preserve"> (no 200 līdz 146) jeb </w:t>
      </w:r>
      <w:r w:rsidR="007B13D1" w:rsidRPr="007B13D1">
        <w:rPr>
          <w:rFonts w:ascii="Times New Roman" w:eastAsia="Times New Roman" w:hAnsi="Times New Roman" w:cs="Times New Roman"/>
          <w:sz w:val="24"/>
          <w:szCs w:val="24"/>
        </w:rPr>
        <w:t>27 %.</w:t>
      </w:r>
      <w:r w:rsidR="007B13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Tā kā</w:t>
      </w:r>
      <w:r w:rsidR="00E97916">
        <w:rPr>
          <w:rFonts w:ascii="Times New Roman" w:eastAsia="Times New Roman" w:hAnsi="Times New Roman" w:cs="Times New Roman"/>
          <w:sz w:val="24"/>
          <w:szCs w:val="24"/>
        </w:rPr>
        <w:t xml:space="preserve"> nodokļu maksātāju skaits augļu, ogu un dārzeņu vairumtirdzniecībā un mazumtirdzniecībā ir samazinājies, var</w:t>
      </w:r>
      <w:r w:rsidR="00FE0D2A" w:rsidRPr="00014425">
        <w:rPr>
          <w:rFonts w:ascii="Times New Roman" w:hAnsi="Times New Roman" w:cs="Times New Roman"/>
          <w:sz w:val="24"/>
          <w:szCs w:val="24"/>
        </w:rPr>
        <w:t xml:space="preserve"> pieņemt, ka </w:t>
      </w:r>
      <w:r w:rsidR="00FE0D2A" w:rsidRPr="00014425">
        <w:rPr>
          <w:rFonts w:ascii="Times New Roman" w:eastAsia="Times New Roman" w:hAnsi="Times New Roman" w:cs="Times New Roman"/>
          <w:sz w:val="24"/>
          <w:szCs w:val="24"/>
        </w:rPr>
        <w:t>līdz ar PVN likmes samazināšanu no 21 līdz 5 %</w:t>
      </w:r>
      <w:r w:rsidR="00506372">
        <w:rPr>
          <w:rFonts w:ascii="Times New Roman" w:eastAsia="Times New Roman" w:hAnsi="Times New Roman" w:cs="Times New Roman"/>
          <w:sz w:val="24"/>
          <w:szCs w:val="24"/>
        </w:rPr>
        <w:t xml:space="preserve"> šie tirgotāji ir pārtraukuši savu saimniecisko darbību augļu, og</w:t>
      </w:r>
      <w:r>
        <w:rPr>
          <w:rFonts w:ascii="Times New Roman" w:eastAsia="Times New Roman" w:hAnsi="Times New Roman" w:cs="Times New Roman"/>
          <w:sz w:val="24"/>
          <w:szCs w:val="24"/>
        </w:rPr>
        <w:t>u</w:t>
      </w:r>
      <w:r w:rsidR="00506372">
        <w:rPr>
          <w:rFonts w:ascii="Times New Roman" w:eastAsia="Times New Roman" w:hAnsi="Times New Roman" w:cs="Times New Roman"/>
          <w:sz w:val="24"/>
          <w:szCs w:val="24"/>
        </w:rPr>
        <w:t xml:space="preserve"> un dārzeņu</w:t>
      </w:r>
      <w:r w:rsidRPr="003F72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tirdzniecībā</w:t>
      </w:r>
      <w:r w:rsidR="00F97FDD">
        <w:rPr>
          <w:rFonts w:ascii="Times New Roman" w:eastAsia="Times New Roman" w:hAnsi="Times New Roman" w:cs="Times New Roman"/>
          <w:sz w:val="24"/>
          <w:szCs w:val="24"/>
        </w:rPr>
        <w:t xml:space="preserve">, </w:t>
      </w:r>
      <w:r w:rsidR="00FE0D2A" w:rsidRPr="00014425">
        <w:rPr>
          <w:rFonts w:ascii="Times New Roman" w:eastAsia="Times New Roman" w:hAnsi="Times New Roman" w:cs="Times New Roman"/>
          <w:sz w:val="24"/>
          <w:szCs w:val="24"/>
        </w:rPr>
        <w:t>jo starpība starp cenu ar PVN un cenu bez PVN</w:t>
      </w:r>
      <w:r w:rsidR="00FE0D2A" w:rsidRPr="001E1BA1">
        <w:rPr>
          <w:rFonts w:ascii="Times New Roman" w:eastAsia="Times New Roman" w:hAnsi="Times New Roman" w:cs="Times New Roman"/>
          <w:sz w:val="24"/>
          <w:szCs w:val="24"/>
        </w:rPr>
        <w:t xml:space="preserve"> </w:t>
      </w:r>
      <w:r w:rsidR="00F97FDD">
        <w:rPr>
          <w:rFonts w:ascii="Times New Roman" w:eastAsia="Times New Roman" w:hAnsi="Times New Roman" w:cs="Times New Roman"/>
          <w:sz w:val="24"/>
          <w:szCs w:val="24"/>
        </w:rPr>
        <w:t>ir</w:t>
      </w:r>
      <w:r w:rsidR="00FE0D2A" w:rsidRPr="001E1BA1">
        <w:rPr>
          <w:rFonts w:ascii="Times New Roman" w:eastAsia="Times New Roman" w:hAnsi="Times New Roman" w:cs="Times New Roman"/>
          <w:sz w:val="24"/>
          <w:szCs w:val="24"/>
        </w:rPr>
        <w:t xml:space="preserve"> </w:t>
      </w:r>
      <w:r w:rsidR="00FE0D2A" w:rsidRPr="00D13AF1">
        <w:rPr>
          <w:rFonts w:ascii="Times New Roman" w:eastAsia="Times New Roman" w:hAnsi="Times New Roman" w:cs="Times New Roman"/>
          <w:sz w:val="24"/>
          <w:szCs w:val="24"/>
        </w:rPr>
        <w:t xml:space="preserve">salīdzinoši neliela, tāpēc </w:t>
      </w:r>
      <w:r w:rsidR="00F97FDD" w:rsidRPr="00D13AF1">
        <w:rPr>
          <w:rFonts w:ascii="Times New Roman" w:eastAsia="Times New Roman" w:hAnsi="Times New Roman" w:cs="Times New Roman"/>
          <w:sz w:val="24"/>
          <w:szCs w:val="24"/>
        </w:rPr>
        <w:t xml:space="preserve">tirgotājiem </w:t>
      </w:r>
      <w:r w:rsidR="00D13AF1" w:rsidRPr="00D13AF1">
        <w:rPr>
          <w:rFonts w:ascii="Times New Roman" w:eastAsia="Times New Roman" w:hAnsi="Times New Roman" w:cs="Times New Roman"/>
          <w:sz w:val="24"/>
          <w:szCs w:val="24"/>
        </w:rPr>
        <w:t>vairs</w:t>
      </w:r>
      <w:r w:rsidR="00D13AF1">
        <w:rPr>
          <w:rFonts w:ascii="Times New Roman" w:eastAsia="Times New Roman" w:hAnsi="Times New Roman" w:cs="Times New Roman"/>
          <w:sz w:val="24"/>
          <w:szCs w:val="24"/>
        </w:rPr>
        <w:t xml:space="preserve"> nav intereses izvairīties no PVN samaksas valsts budžetā.</w:t>
      </w:r>
    </w:p>
    <w:p w14:paraId="7F1556B8" w14:textId="677156E4" w:rsidR="003D2E4B" w:rsidRPr="00F16D17" w:rsidRDefault="003E7D47" w:rsidP="00F16D17">
      <w:pPr>
        <w:tabs>
          <w:tab w:val="left" w:pos="1134"/>
        </w:tabs>
        <w:spacing w:after="0" w:line="240" w:lineRule="auto"/>
        <w:ind w:firstLine="709"/>
        <w:jc w:val="both"/>
        <w:rPr>
          <w:rFonts w:ascii="Times New Roman" w:eastAsia="Times New Roman" w:hAnsi="Times New Roman" w:cs="Times New Roman"/>
          <w:sz w:val="24"/>
          <w:szCs w:val="24"/>
        </w:rPr>
      </w:pPr>
      <w:r w:rsidRPr="0021494D">
        <w:rPr>
          <w:rFonts w:ascii="Times New Roman" w:eastAsia="Times New Roman" w:hAnsi="Times New Roman" w:cs="Times New Roman"/>
          <w:sz w:val="24"/>
          <w:szCs w:val="24"/>
        </w:rPr>
        <w:t xml:space="preserve">Tā kā </w:t>
      </w:r>
      <w:r>
        <w:rPr>
          <w:rFonts w:ascii="Times New Roman" w:eastAsia="Times New Roman" w:hAnsi="Times New Roman" w:cs="Times New Roman"/>
          <w:sz w:val="24"/>
          <w:szCs w:val="24"/>
        </w:rPr>
        <w:t>PVN reģistrēto nodokļ</w:t>
      </w:r>
      <w:r w:rsidR="001A1D64">
        <w:rPr>
          <w:rFonts w:ascii="Times New Roman" w:eastAsia="Times New Roman" w:hAnsi="Times New Roman" w:cs="Times New Roman"/>
          <w:sz w:val="24"/>
          <w:szCs w:val="24"/>
        </w:rPr>
        <w:t>u</w:t>
      </w:r>
      <w:r w:rsidR="00E20304">
        <w:rPr>
          <w:rFonts w:ascii="Times New Roman" w:eastAsia="Times New Roman" w:hAnsi="Times New Roman" w:cs="Times New Roman"/>
          <w:sz w:val="24"/>
          <w:szCs w:val="24"/>
        </w:rPr>
        <w:t xml:space="preserve"> maksātāju skaits </w:t>
      </w:r>
      <w:r w:rsidR="00E20304" w:rsidRPr="003F4499">
        <w:rPr>
          <w:rFonts w:ascii="Times New Roman" w:eastAsia="Times New Roman" w:hAnsi="Times New Roman" w:cs="Times New Roman"/>
          <w:sz w:val="24"/>
          <w:szCs w:val="24"/>
        </w:rPr>
        <w:t>augļu, ogu un dārzeņu audzētāju</w:t>
      </w:r>
      <w:r w:rsidR="00E20304">
        <w:rPr>
          <w:rFonts w:ascii="Times New Roman" w:eastAsia="Times New Roman" w:hAnsi="Times New Roman" w:cs="Times New Roman"/>
          <w:sz w:val="24"/>
          <w:szCs w:val="24"/>
        </w:rPr>
        <w:t xml:space="preserve"> un augļu un dārzeņu pārstrādes nozarē ir palielinājies par </w:t>
      </w:r>
      <w:r w:rsidR="00297CC1">
        <w:rPr>
          <w:rFonts w:ascii="Times New Roman" w:eastAsia="Times New Roman" w:hAnsi="Times New Roman" w:cs="Times New Roman"/>
          <w:sz w:val="24"/>
          <w:szCs w:val="24"/>
        </w:rPr>
        <w:t>18,2</w:t>
      </w:r>
      <w:r w:rsidR="003F72E3">
        <w:rPr>
          <w:rFonts w:ascii="Times New Roman" w:eastAsia="Times New Roman" w:hAnsi="Times New Roman" w:cs="Times New Roman"/>
          <w:sz w:val="24"/>
          <w:szCs w:val="24"/>
        </w:rPr>
        <w:t xml:space="preserve"> </w:t>
      </w:r>
      <w:r w:rsidR="00297CC1">
        <w:rPr>
          <w:rFonts w:ascii="Times New Roman" w:eastAsia="Times New Roman" w:hAnsi="Times New Roman" w:cs="Times New Roman"/>
          <w:sz w:val="24"/>
          <w:szCs w:val="24"/>
        </w:rPr>
        <w:t xml:space="preserve">%, </w:t>
      </w:r>
      <w:r w:rsidR="003F72E3">
        <w:rPr>
          <w:rFonts w:ascii="Times New Roman" w:eastAsia="Times New Roman" w:hAnsi="Times New Roman" w:cs="Times New Roman"/>
          <w:sz w:val="24"/>
          <w:szCs w:val="24"/>
        </w:rPr>
        <w:t xml:space="preserve">turpretī </w:t>
      </w:r>
      <w:r w:rsidR="00297CC1" w:rsidRPr="007B13D1">
        <w:rPr>
          <w:rFonts w:ascii="Times New Roman" w:eastAsia="Times New Roman" w:hAnsi="Times New Roman" w:cs="Times New Roman"/>
          <w:sz w:val="24"/>
          <w:szCs w:val="24"/>
        </w:rPr>
        <w:t>PVN reģistrā reģistrēto augļu, ogu un dārzeņu vairumtirgotāju un mazumtirgotāju skaits</w:t>
      </w:r>
      <w:r w:rsidR="00297CC1">
        <w:rPr>
          <w:rFonts w:ascii="Times New Roman" w:eastAsia="Times New Roman" w:hAnsi="Times New Roman" w:cs="Times New Roman"/>
          <w:sz w:val="24"/>
          <w:szCs w:val="24"/>
        </w:rPr>
        <w:t xml:space="preserve"> ir samazinājies par </w:t>
      </w:r>
      <w:r w:rsidR="003D2E4B">
        <w:rPr>
          <w:rFonts w:ascii="Times New Roman" w:eastAsia="Times New Roman" w:hAnsi="Times New Roman" w:cs="Times New Roman"/>
          <w:sz w:val="24"/>
          <w:szCs w:val="24"/>
        </w:rPr>
        <w:t>27</w:t>
      </w:r>
      <w:r w:rsidR="003F72E3">
        <w:rPr>
          <w:rFonts w:ascii="Times New Roman" w:eastAsia="Times New Roman" w:hAnsi="Times New Roman" w:cs="Times New Roman"/>
          <w:sz w:val="24"/>
          <w:szCs w:val="24"/>
        </w:rPr>
        <w:t xml:space="preserve"> </w:t>
      </w:r>
      <w:r w:rsidR="003D2E4B">
        <w:rPr>
          <w:rFonts w:ascii="Times New Roman" w:eastAsia="Times New Roman" w:hAnsi="Times New Roman" w:cs="Times New Roman"/>
          <w:sz w:val="24"/>
          <w:szCs w:val="24"/>
        </w:rPr>
        <w:t xml:space="preserve">%, </w:t>
      </w:r>
      <w:r w:rsidRPr="0021494D">
        <w:rPr>
          <w:rFonts w:ascii="Times New Roman" w:eastAsia="Times New Roman" w:hAnsi="Times New Roman" w:cs="Times New Roman"/>
          <w:sz w:val="24"/>
          <w:szCs w:val="24"/>
        </w:rPr>
        <w:t>var pieņemt, ka augļu, ogu un dārzeņu tirdzniecībā</w:t>
      </w:r>
      <w:r w:rsidR="003F72E3" w:rsidRPr="003F72E3">
        <w:rPr>
          <w:rFonts w:ascii="Times New Roman" w:eastAsia="Times New Roman" w:hAnsi="Times New Roman" w:cs="Times New Roman"/>
          <w:sz w:val="24"/>
          <w:szCs w:val="24"/>
        </w:rPr>
        <w:t xml:space="preserve"> </w:t>
      </w:r>
      <w:r w:rsidR="003F72E3" w:rsidRPr="0021494D">
        <w:rPr>
          <w:rFonts w:ascii="Times New Roman" w:eastAsia="Times New Roman" w:hAnsi="Times New Roman" w:cs="Times New Roman"/>
          <w:sz w:val="24"/>
          <w:szCs w:val="24"/>
        </w:rPr>
        <w:t>ir mazināj</w:t>
      </w:r>
      <w:r w:rsidR="00977424">
        <w:rPr>
          <w:rFonts w:ascii="Times New Roman" w:eastAsia="Times New Roman" w:hAnsi="Times New Roman" w:cs="Times New Roman"/>
          <w:sz w:val="24"/>
          <w:szCs w:val="24"/>
        </w:rPr>
        <w:t>us</w:t>
      </w:r>
      <w:r w:rsidR="003F72E3" w:rsidRPr="0021494D">
        <w:rPr>
          <w:rFonts w:ascii="Times New Roman" w:eastAsia="Times New Roman" w:hAnsi="Times New Roman" w:cs="Times New Roman"/>
          <w:sz w:val="24"/>
          <w:szCs w:val="24"/>
        </w:rPr>
        <w:t>ies ēnu ekonomika</w:t>
      </w:r>
      <w:r w:rsidRPr="0021494D">
        <w:rPr>
          <w:rFonts w:ascii="Times New Roman" w:eastAsia="Times New Roman" w:hAnsi="Times New Roman" w:cs="Times New Roman"/>
          <w:sz w:val="24"/>
          <w:szCs w:val="24"/>
        </w:rPr>
        <w:t>.</w:t>
      </w:r>
    </w:p>
    <w:p w14:paraId="35EBB4D7" w14:textId="68F9BD01" w:rsidR="009A6EC4" w:rsidRPr="009D3D0E" w:rsidRDefault="00AC4BCA" w:rsidP="003D2E88">
      <w:pPr>
        <w:pStyle w:val="ListParagraph"/>
        <w:tabs>
          <w:tab w:val="left" w:pos="1134"/>
        </w:tabs>
        <w:spacing w:before="120" w:after="120" w:line="240" w:lineRule="auto"/>
        <w:ind w:left="0" w:firstLine="709"/>
        <w:contextualSpacing w:val="0"/>
        <w:jc w:val="both"/>
        <w:rPr>
          <w:rFonts w:ascii="Times New Roman" w:eastAsia="Times New Roman" w:hAnsi="Times New Roman" w:cs="Times New Roman"/>
          <w:sz w:val="24"/>
          <w:szCs w:val="24"/>
          <w:u w:val="single"/>
        </w:rPr>
      </w:pPr>
      <w:r w:rsidRPr="009D3D0E">
        <w:rPr>
          <w:rFonts w:ascii="Times New Roman" w:eastAsia="Times New Roman" w:hAnsi="Times New Roman" w:cs="Times New Roman"/>
          <w:sz w:val="24"/>
          <w:szCs w:val="24"/>
          <w:u w:val="single"/>
        </w:rPr>
        <w:t>Nodarbinātība</w:t>
      </w:r>
      <w:r w:rsidR="00820784" w:rsidRPr="009D3D0E">
        <w:rPr>
          <w:rFonts w:ascii="Times New Roman" w:eastAsia="Times New Roman" w:hAnsi="Times New Roman" w:cs="Times New Roman"/>
          <w:sz w:val="24"/>
          <w:szCs w:val="24"/>
          <w:u w:val="single"/>
        </w:rPr>
        <w:t xml:space="preserve">s </w:t>
      </w:r>
      <w:r w:rsidR="003F72E3">
        <w:rPr>
          <w:rFonts w:ascii="Times New Roman" w:eastAsia="Times New Roman" w:hAnsi="Times New Roman" w:cs="Times New Roman"/>
          <w:sz w:val="24"/>
          <w:szCs w:val="24"/>
          <w:u w:val="single"/>
        </w:rPr>
        <w:t>pār</w:t>
      </w:r>
      <w:r w:rsidR="00820784" w:rsidRPr="009D3D0E">
        <w:rPr>
          <w:rFonts w:ascii="Times New Roman" w:eastAsia="Times New Roman" w:hAnsi="Times New Roman" w:cs="Times New Roman"/>
          <w:sz w:val="24"/>
          <w:szCs w:val="24"/>
          <w:u w:val="single"/>
        </w:rPr>
        <w:t>maiņu tendences</w:t>
      </w:r>
    </w:p>
    <w:p w14:paraId="6A418FAE" w14:textId="23CACF75" w:rsidR="0082328A" w:rsidRPr="00820784" w:rsidRDefault="0082328A" w:rsidP="00BF5B53">
      <w:pPr>
        <w:pStyle w:val="NormalWeb"/>
        <w:spacing w:before="0" w:beforeAutospacing="0" w:after="0" w:afterAutospacing="0"/>
        <w:ind w:firstLine="720"/>
        <w:jc w:val="both"/>
        <w:rPr>
          <w:lang w:val="lv-LV"/>
        </w:rPr>
      </w:pPr>
      <w:r w:rsidRPr="009952EC">
        <w:rPr>
          <w:lang w:val="lv-LV" w:eastAsia="lv-LV"/>
        </w:rPr>
        <w:t>Samazinoties nelielo saimniecību skaitam un intensificējot lauksaimniecisko ražošanu, samazinās arī kopējais lauksaimniecībā nodarbināto skaits.</w:t>
      </w:r>
      <w:r w:rsidRPr="009952EC">
        <w:rPr>
          <w:sz w:val="28"/>
          <w:szCs w:val="28"/>
          <w:lang w:val="lv-LV" w:eastAsia="lv-LV"/>
        </w:rPr>
        <w:t xml:space="preserve"> </w:t>
      </w:r>
      <w:r w:rsidRPr="009952EC">
        <w:rPr>
          <w:lang w:val="lv-LV"/>
        </w:rPr>
        <w:t>Tomēr, lai gan lauksaimniecībā kopumā darbaspēka apjoms samazinās, augļkopības un dārzkopības nozarē darbinieku skaits ik gadu palielinās (</w:t>
      </w:r>
      <w:r w:rsidR="00B1011D" w:rsidRPr="009952EC">
        <w:rPr>
          <w:lang w:val="lv-LV"/>
        </w:rPr>
        <w:t>6</w:t>
      </w:r>
      <w:r w:rsidRPr="009952EC">
        <w:rPr>
          <w:lang w:val="lv-LV"/>
        </w:rPr>
        <w:t>.</w:t>
      </w:r>
      <w:r w:rsidR="003F72E3">
        <w:rPr>
          <w:lang w:val="lv-LV"/>
        </w:rPr>
        <w:t xml:space="preserve"> </w:t>
      </w:r>
      <w:r w:rsidRPr="009952EC">
        <w:rPr>
          <w:lang w:val="lv-LV"/>
        </w:rPr>
        <w:t>attēls).</w:t>
      </w:r>
      <w:r w:rsidRPr="00820784">
        <w:rPr>
          <w:lang w:val="lv-LV"/>
        </w:rPr>
        <w:t xml:space="preserve"> </w:t>
      </w:r>
    </w:p>
    <w:p w14:paraId="7031F075" w14:textId="24CAD8AA" w:rsidR="0082328A" w:rsidRPr="00734F1A" w:rsidRDefault="0076614D" w:rsidP="00BF5B53">
      <w:pPr>
        <w:spacing w:before="120" w:after="120" w:line="240" w:lineRule="auto"/>
        <w:jc w:val="center"/>
        <w:rPr>
          <w:rFonts w:ascii="Times New Roman" w:hAnsi="Times New Roman" w:cs="Times New Roman"/>
          <w:sz w:val="24"/>
          <w:szCs w:val="24"/>
        </w:rPr>
      </w:pPr>
      <w:r>
        <w:rPr>
          <w:noProof/>
          <w:lang w:eastAsia="lv-LV"/>
        </w:rPr>
        <w:lastRenderedPageBreak/>
        <w:drawing>
          <wp:inline distT="0" distB="0" distL="0" distR="0" wp14:anchorId="14E6B0B3" wp14:editId="7EE36D86">
            <wp:extent cx="5760085" cy="3397885"/>
            <wp:effectExtent l="0" t="0" r="12065" b="12065"/>
            <wp:docPr id="6" name="Chart 6">
              <a:extLst xmlns:a="http://schemas.openxmlformats.org/drawingml/2006/main">
                <a:ext uri="{FF2B5EF4-FFF2-40B4-BE49-F238E27FC236}">
                  <a16:creationId xmlns:a16="http://schemas.microsoft.com/office/drawing/2014/main" id="{86156504-AC3D-453D-95CA-4B2507D4BD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E2A812" w14:textId="3CAE0EED" w:rsidR="0082328A" w:rsidRPr="00BF5B53" w:rsidRDefault="00B1011D" w:rsidP="0082328A">
      <w:pPr>
        <w:spacing w:after="0" w:line="240" w:lineRule="auto"/>
        <w:ind w:firstLine="851"/>
        <w:jc w:val="both"/>
        <w:rPr>
          <w:rFonts w:ascii="Times New Roman" w:hAnsi="Times New Roman" w:cs="Times New Roman"/>
          <w:sz w:val="24"/>
          <w:szCs w:val="24"/>
        </w:rPr>
      </w:pPr>
      <w:bookmarkStart w:id="1" w:name="_Hlk45388681"/>
      <w:r w:rsidRPr="00BF5B53">
        <w:rPr>
          <w:rFonts w:ascii="Times New Roman" w:hAnsi="Times New Roman" w:cs="Times New Roman"/>
          <w:sz w:val="24"/>
          <w:szCs w:val="24"/>
        </w:rPr>
        <w:t>6</w:t>
      </w:r>
      <w:r w:rsidR="0082328A" w:rsidRPr="00BF5B53">
        <w:rPr>
          <w:rFonts w:ascii="Times New Roman" w:hAnsi="Times New Roman" w:cs="Times New Roman"/>
          <w:sz w:val="24"/>
          <w:szCs w:val="24"/>
        </w:rPr>
        <w:t>.</w:t>
      </w:r>
      <w:r w:rsidR="003F72E3">
        <w:rPr>
          <w:rFonts w:ascii="Times New Roman" w:hAnsi="Times New Roman" w:cs="Times New Roman"/>
          <w:sz w:val="24"/>
          <w:szCs w:val="24"/>
        </w:rPr>
        <w:t xml:space="preserve"> </w:t>
      </w:r>
      <w:r w:rsidR="0082328A" w:rsidRPr="00BF5B53">
        <w:rPr>
          <w:rFonts w:ascii="Times New Roman" w:hAnsi="Times New Roman" w:cs="Times New Roman"/>
          <w:sz w:val="24"/>
          <w:szCs w:val="24"/>
        </w:rPr>
        <w:t xml:space="preserve">attēls. Vidējais darba ņēmēju skaits periodos, kuros tie saņēma darba ienākumus, augļu, ogu un dārzeņu ražošanas nozarē </w:t>
      </w:r>
      <w:r w:rsidR="00637235" w:rsidRPr="00BF5B53">
        <w:rPr>
          <w:rFonts w:ascii="Times New Roman" w:hAnsi="Times New Roman" w:cs="Times New Roman"/>
          <w:sz w:val="24"/>
          <w:szCs w:val="24"/>
        </w:rPr>
        <w:t xml:space="preserve">un lauksaimniecībā kopumā </w:t>
      </w:r>
      <w:r w:rsidR="0082328A" w:rsidRPr="00BF5B53">
        <w:rPr>
          <w:rFonts w:ascii="Times New Roman" w:hAnsi="Times New Roman" w:cs="Times New Roman"/>
          <w:sz w:val="24"/>
          <w:szCs w:val="24"/>
        </w:rPr>
        <w:t>no 201</w:t>
      </w:r>
      <w:r w:rsidR="009952EC" w:rsidRPr="00BF5B53">
        <w:rPr>
          <w:rFonts w:ascii="Times New Roman" w:hAnsi="Times New Roman" w:cs="Times New Roman"/>
          <w:sz w:val="24"/>
          <w:szCs w:val="24"/>
        </w:rPr>
        <w:t>7</w:t>
      </w:r>
      <w:r w:rsidR="0082328A" w:rsidRPr="00BF5B53">
        <w:rPr>
          <w:rFonts w:ascii="Times New Roman" w:hAnsi="Times New Roman" w:cs="Times New Roman"/>
          <w:sz w:val="24"/>
          <w:szCs w:val="24"/>
        </w:rPr>
        <w:t>. līdz 20</w:t>
      </w:r>
      <w:r w:rsidR="00127857" w:rsidRPr="00BF5B53">
        <w:rPr>
          <w:rFonts w:ascii="Times New Roman" w:hAnsi="Times New Roman" w:cs="Times New Roman"/>
          <w:sz w:val="24"/>
          <w:szCs w:val="24"/>
        </w:rPr>
        <w:t>22</w:t>
      </w:r>
      <w:r w:rsidR="0082328A" w:rsidRPr="00BF5B53">
        <w:rPr>
          <w:rFonts w:ascii="Times New Roman" w:hAnsi="Times New Roman" w:cs="Times New Roman"/>
          <w:sz w:val="24"/>
          <w:szCs w:val="24"/>
        </w:rPr>
        <w:t>.</w:t>
      </w:r>
      <w:r w:rsidR="003F72E3">
        <w:rPr>
          <w:rFonts w:ascii="Times New Roman" w:hAnsi="Times New Roman" w:cs="Times New Roman"/>
          <w:sz w:val="24"/>
          <w:szCs w:val="24"/>
        </w:rPr>
        <w:t xml:space="preserve"> </w:t>
      </w:r>
      <w:r w:rsidR="0082328A" w:rsidRPr="00BF5B53">
        <w:rPr>
          <w:rFonts w:ascii="Times New Roman" w:hAnsi="Times New Roman" w:cs="Times New Roman"/>
          <w:sz w:val="24"/>
          <w:szCs w:val="24"/>
        </w:rPr>
        <w:t>gadam</w:t>
      </w:r>
    </w:p>
    <w:p w14:paraId="0056A637" w14:textId="77777777" w:rsidR="0082328A" w:rsidRPr="00BF5B53" w:rsidRDefault="0082328A" w:rsidP="0082328A">
      <w:pPr>
        <w:tabs>
          <w:tab w:val="left" w:pos="1134"/>
        </w:tabs>
        <w:spacing w:after="120" w:line="240" w:lineRule="auto"/>
        <w:ind w:firstLine="709"/>
        <w:jc w:val="both"/>
        <w:rPr>
          <w:rFonts w:ascii="Times New Roman" w:eastAsia="Times New Roman" w:hAnsi="Times New Roman" w:cs="Times New Roman"/>
          <w:sz w:val="20"/>
          <w:szCs w:val="20"/>
        </w:rPr>
      </w:pPr>
      <w:r w:rsidRPr="00BF5B53">
        <w:rPr>
          <w:rFonts w:ascii="Times New Roman" w:eastAsia="Times New Roman" w:hAnsi="Times New Roman" w:cs="Times New Roman"/>
          <w:i/>
          <w:sz w:val="20"/>
          <w:szCs w:val="20"/>
        </w:rPr>
        <w:t xml:space="preserve">Datu avots: </w:t>
      </w:r>
      <w:r w:rsidRPr="00BF5B53">
        <w:rPr>
          <w:rFonts w:ascii="Times New Roman" w:eastAsia="Times New Roman" w:hAnsi="Times New Roman" w:cs="Times New Roman"/>
          <w:sz w:val="20"/>
          <w:szCs w:val="20"/>
        </w:rPr>
        <w:t>Zemkopības ministrija pēc VID datiem</w:t>
      </w:r>
    </w:p>
    <w:bookmarkEnd w:id="1"/>
    <w:p w14:paraId="0E2FF079" w14:textId="658F338A" w:rsidR="00337751" w:rsidRPr="008B60BD" w:rsidRDefault="0082328A" w:rsidP="00FD7B23">
      <w:pPr>
        <w:spacing w:after="0" w:line="240" w:lineRule="auto"/>
        <w:ind w:firstLine="706"/>
        <w:jc w:val="both"/>
        <w:rPr>
          <w:rFonts w:ascii="Times New Roman" w:eastAsia="Times New Roman" w:hAnsi="Times New Roman" w:cs="Times New Roman"/>
          <w:color w:val="000000" w:themeColor="text1"/>
          <w:sz w:val="24"/>
          <w:szCs w:val="24"/>
        </w:rPr>
      </w:pPr>
      <w:r w:rsidRPr="008B60BD">
        <w:rPr>
          <w:rFonts w:ascii="Times New Roman" w:eastAsia="Times New Roman" w:hAnsi="Times New Roman" w:cs="Times New Roman"/>
          <w:color w:val="000000" w:themeColor="text1"/>
          <w:sz w:val="24"/>
          <w:szCs w:val="24"/>
        </w:rPr>
        <w:t xml:space="preserve">Vidējais darba ņēmēju skaits periodos, kuros tie saņēma darba ienākumus, augļkopības un dārzeņkopības nozarē (analizējot datus par </w:t>
      </w:r>
      <w:r w:rsidR="00BF5B53" w:rsidRPr="008B60BD">
        <w:rPr>
          <w:rFonts w:ascii="Times New Roman" w:eastAsia="Times New Roman" w:hAnsi="Times New Roman" w:cs="Times New Roman"/>
          <w:color w:val="000000" w:themeColor="text1"/>
          <w:sz w:val="24"/>
          <w:szCs w:val="24"/>
        </w:rPr>
        <w:t>tiem nodokļu maksātājiem, k</w:t>
      </w:r>
      <w:r w:rsidR="001A1D64">
        <w:rPr>
          <w:rFonts w:ascii="Times New Roman" w:eastAsia="Times New Roman" w:hAnsi="Times New Roman" w:cs="Times New Roman"/>
          <w:color w:val="000000" w:themeColor="text1"/>
          <w:sz w:val="24"/>
          <w:szCs w:val="24"/>
        </w:rPr>
        <w:t>uri</w:t>
      </w:r>
      <w:r w:rsidR="00BF5B53" w:rsidRPr="008B60BD">
        <w:rPr>
          <w:rFonts w:ascii="Times New Roman" w:eastAsia="Times New Roman" w:hAnsi="Times New Roman" w:cs="Times New Roman"/>
          <w:color w:val="000000" w:themeColor="text1"/>
          <w:sz w:val="24"/>
          <w:szCs w:val="24"/>
        </w:rPr>
        <w:t xml:space="preserve"> </w:t>
      </w:r>
      <w:r w:rsidR="0076614D" w:rsidRPr="008B60BD">
        <w:rPr>
          <w:rFonts w:ascii="Times New Roman" w:eastAsia="Times New Roman" w:hAnsi="Times New Roman" w:cs="Times New Roman"/>
          <w:color w:val="000000" w:themeColor="text1"/>
          <w:sz w:val="24"/>
          <w:szCs w:val="24"/>
        </w:rPr>
        <w:t>audzē Pievienotās vērtības nodokļa likumā noteiktos augļus, ogas un dārzeņus</w:t>
      </w:r>
      <w:r w:rsidR="006D55A0" w:rsidRPr="008B60BD">
        <w:rPr>
          <w:rFonts w:ascii="Times New Roman" w:eastAsia="Times New Roman" w:hAnsi="Times New Roman" w:cs="Times New Roman"/>
          <w:color w:val="000000" w:themeColor="text1"/>
          <w:sz w:val="24"/>
          <w:szCs w:val="24"/>
        </w:rPr>
        <w:t xml:space="preserve"> un kuri norādījuši ar 5</w:t>
      </w:r>
      <w:r w:rsidR="003F72E3">
        <w:rPr>
          <w:rFonts w:ascii="Times New Roman" w:eastAsia="Times New Roman" w:hAnsi="Times New Roman" w:cs="Times New Roman"/>
          <w:color w:val="000000" w:themeColor="text1"/>
          <w:sz w:val="24"/>
          <w:szCs w:val="24"/>
        </w:rPr>
        <w:t> </w:t>
      </w:r>
      <w:r w:rsidR="006D55A0" w:rsidRPr="008B60BD">
        <w:rPr>
          <w:rFonts w:ascii="Times New Roman" w:eastAsia="Times New Roman" w:hAnsi="Times New Roman" w:cs="Times New Roman"/>
          <w:color w:val="000000" w:themeColor="text1"/>
          <w:sz w:val="24"/>
          <w:szCs w:val="24"/>
        </w:rPr>
        <w:t xml:space="preserve">% </w:t>
      </w:r>
      <w:r w:rsidR="003F72E3" w:rsidRPr="008B60BD">
        <w:rPr>
          <w:rFonts w:ascii="Times New Roman" w:eastAsia="Times New Roman" w:hAnsi="Times New Roman" w:cs="Times New Roman"/>
          <w:color w:val="000000" w:themeColor="text1"/>
          <w:sz w:val="24"/>
          <w:szCs w:val="24"/>
        </w:rPr>
        <w:t xml:space="preserve">PVN </w:t>
      </w:r>
      <w:r w:rsidR="006D55A0" w:rsidRPr="008B60BD">
        <w:rPr>
          <w:rFonts w:ascii="Times New Roman" w:eastAsia="Times New Roman" w:hAnsi="Times New Roman" w:cs="Times New Roman"/>
          <w:color w:val="000000" w:themeColor="text1"/>
          <w:sz w:val="24"/>
          <w:szCs w:val="24"/>
        </w:rPr>
        <w:t>likmi apliekamos darījumus kaut vienā 2022.</w:t>
      </w:r>
      <w:r w:rsidR="003F72E3">
        <w:rPr>
          <w:rFonts w:ascii="Times New Roman" w:eastAsia="Times New Roman" w:hAnsi="Times New Roman" w:cs="Times New Roman"/>
          <w:color w:val="000000" w:themeColor="text1"/>
          <w:sz w:val="24"/>
          <w:szCs w:val="24"/>
        </w:rPr>
        <w:t xml:space="preserve"> </w:t>
      </w:r>
      <w:r w:rsidR="006D55A0" w:rsidRPr="008B60BD">
        <w:rPr>
          <w:rFonts w:ascii="Times New Roman" w:eastAsia="Times New Roman" w:hAnsi="Times New Roman" w:cs="Times New Roman"/>
          <w:color w:val="000000" w:themeColor="text1"/>
          <w:sz w:val="24"/>
          <w:szCs w:val="24"/>
        </w:rPr>
        <w:t>gada periodā</w:t>
      </w:r>
      <w:r w:rsidR="005B672F" w:rsidRPr="008B60BD">
        <w:rPr>
          <w:rFonts w:ascii="Times New Roman" w:eastAsia="Times New Roman" w:hAnsi="Times New Roman" w:cs="Times New Roman"/>
          <w:color w:val="000000" w:themeColor="text1"/>
          <w:sz w:val="24"/>
          <w:szCs w:val="24"/>
        </w:rPr>
        <w:t xml:space="preserve">) </w:t>
      </w:r>
      <w:r w:rsidRPr="008B60BD">
        <w:rPr>
          <w:rFonts w:ascii="Times New Roman" w:eastAsia="Times New Roman" w:hAnsi="Times New Roman" w:cs="Times New Roman"/>
          <w:color w:val="000000" w:themeColor="text1"/>
          <w:sz w:val="24"/>
          <w:szCs w:val="24"/>
        </w:rPr>
        <w:t xml:space="preserve">ir palielinājies no </w:t>
      </w:r>
      <w:r w:rsidR="005B672F" w:rsidRPr="008B60BD">
        <w:rPr>
          <w:rFonts w:ascii="Times New Roman" w:eastAsia="Times New Roman" w:hAnsi="Times New Roman" w:cs="Times New Roman"/>
          <w:color w:val="000000" w:themeColor="text1"/>
          <w:sz w:val="24"/>
          <w:szCs w:val="24"/>
        </w:rPr>
        <w:t>5971</w:t>
      </w:r>
      <w:r w:rsidR="001A1D64">
        <w:rPr>
          <w:rFonts w:ascii="Times New Roman" w:eastAsia="Times New Roman" w:hAnsi="Times New Roman" w:cs="Times New Roman"/>
          <w:color w:val="000000" w:themeColor="text1"/>
          <w:sz w:val="24"/>
          <w:szCs w:val="24"/>
        </w:rPr>
        <w:t> </w:t>
      </w:r>
      <w:r w:rsidRPr="008B60BD">
        <w:rPr>
          <w:rFonts w:ascii="Times New Roman" w:eastAsia="Times New Roman" w:hAnsi="Times New Roman" w:cs="Times New Roman"/>
          <w:color w:val="000000" w:themeColor="text1"/>
          <w:sz w:val="24"/>
          <w:szCs w:val="24"/>
        </w:rPr>
        <w:t>darba ņēmēj</w:t>
      </w:r>
      <w:r w:rsidR="003F72E3">
        <w:rPr>
          <w:rFonts w:ascii="Times New Roman" w:eastAsia="Times New Roman" w:hAnsi="Times New Roman" w:cs="Times New Roman"/>
          <w:color w:val="000000" w:themeColor="text1"/>
          <w:sz w:val="24"/>
          <w:szCs w:val="24"/>
        </w:rPr>
        <w:t>a</w:t>
      </w:r>
      <w:r w:rsidRPr="008B60BD">
        <w:rPr>
          <w:rFonts w:ascii="Times New Roman" w:eastAsia="Times New Roman" w:hAnsi="Times New Roman" w:cs="Times New Roman"/>
          <w:color w:val="000000" w:themeColor="text1"/>
          <w:sz w:val="24"/>
          <w:szCs w:val="24"/>
        </w:rPr>
        <w:t xml:space="preserve"> 2017.</w:t>
      </w:r>
      <w:r w:rsidR="003F72E3">
        <w:rPr>
          <w:rFonts w:ascii="Times New Roman" w:eastAsia="Times New Roman" w:hAnsi="Times New Roman" w:cs="Times New Roman"/>
          <w:color w:val="000000" w:themeColor="text1"/>
          <w:sz w:val="24"/>
          <w:szCs w:val="24"/>
        </w:rPr>
        <w:t> </w:t>
      </w:r>
      <w:r w:rsidRPr="008B60BD">
        <w:rPr>
          <w:rFonts w:ascii="Times New Roman" w:eastAsia="Times New Roman" w:hAnsi="Times New Roman" w:cs="Times New Roman"/>
          <w:color w:val="000000" w:themeColor="text1"/>
          <w:sz w:val="24"/>
          <w:szCs w:val="24"/>
        </w:rPr>
        <w:t xml:space="preserve">gadā līdz </w:t>
      </w:r>
      <w:r w:rsidR="00471D68" w:rsidRPr="008B60BD">
        <w:rPr>
          <w:rFonts w:ascii="Times New Roman" w:eastAsia="Times New Roman" w:hAnsi="Times New Roman" w:cs="Times New Roman"/>
          <w:color w:val="000000" w:themeColor="text1"/>
          <w:sz w:val="24"/>
          <w:szCs w:val="24"/>
        </w:rPr>
        <w:t>6523</w:t>
      </w:r>
      <w:r w:rsidRPr="008B60BD">
        <w:rPr>
          <w:rFonts w:ascii="Times New Roman" w:eastAsia="Times New Roman" w:hAnsi="Times New Roman" w:cs="Times New Roman"/>
          <w:color w:val="000000" w:themeColor="text1"/>
          <w:sz w:val="24"/>
          <w:szCs w:val="24"/>
        </w:rPr>
        <w:t xml:space="preserve"> darba ņēmējiem 20</w:t>
      </w:r>
      <w:r w:rsidR="00471D68" w:rsidRPr="008B60BD">
        <w:rPr>
          <w:rFonts w:ascii="Times New Roman" w:eastAsia="Times New Roman" w:hAnsi="Times New Roman" w:cs="Times New Roman"/>
          <w:color w:val="000000" w:themeColor="text1"/>
          <w:sz w:val="24"/>
          <w:szCs w:val="24"/>
        </w:rPr>
        <w:t>22</w:t>
      </w:r>
      <w:r w:rsidRPr="008B60BD">
        <w:rPr>
          <w:rFonts w:ascii="Times New Roman" w:eastAsia="Times New Roman" w:hAnsi="Times New Roman" w:cs="Times New Roman"/>
          <w:color w:val="000000" w:themeColor="text1"/>
          <w:sz w:val="24"/>
          <w:szCs w:val="24"/>
        </w:rPr>
        <w:t>.</w:t>
      </w:r>
      <w:r w:rsidR="00977424">
        <w:rPr>
          <w:rFonts w:ascii="Times New Roman" w:eastAsia="Times New Roman" w:hAnsi="Times New Roman" w:cs="Times New Roman"/>
          <w:color w:val="000000" w:themeColor="text1"/>
          <w:sz w:val="24"/>
          <w:szCs w:val="24"/>
        </w:rPr>
        <w:t xml:space="preserve"> </w:t>
      </w:r>
      <w:r w:rsidRPr="008B60BD">
        <w:rPr>
          <w:rFonts w:ascii="Times New Roman" w:eastAsia="Times New Roman" w:hAnsi="Times New Roman" w:cs="Times New Roman"/>
          <w:color w:val="000000" w:themeColor="text1"/>
          <w:sz w:val="24"/>
          <w:szCs w:val="24"/>
        </w:rPr>
        <w:t>gadā</w:t>
      </w:r>
      <w:r w:rsidR="00471D68" w:rsidRPr="008B60BD">
        <w:rPr>
          <w:rFonts w:ascii="Times New Roman" w:eastAsia="Times New Roman" w:hAnsi="Times New Roman" w:cs="Times New Roman"/>
          <w:color w:val="000000" w:themeColor="text1"/>
          <w:sz w:val="24"/>
          <w:szCs w:val="24"/>
        </w:rPr>
        <w:t xml:space="preserve"> jeb 9,2 %. Savukārt lauksaimniecības nozarē </w:t>
      </w:r>
      <w:r w:rsidRPr="008B60BD">
        <w:rPr>
          <w:rFonts w:ascii="Times New Roman" w:eastAsia="Times New Roman" w:hAnsi="Times New Roman" w:cs="Times New Roman"/>
          <w:color w:val="000000" w:themeColor="text1"/>
          <w:sz w:val="24"/>
          <w:szCs w:val="24"/>
        </w:rPr>
        <w:t>vidējais darba ņēmēju skaits</w:t>
      </w:r>
      <w:r w:rsidR="000E2D01" w:rsidRPr="008B60BD">
        <w:rPr>
          <w:rFonts w:ascii="Times New Roman" w:eastAsia="Times New Roman" w:hAnsi="Times New Roman" w:cs="Times New Roman"/>
          <w:color w:val="000000" w:themeColor="text1"/>
          <w:sz w:val="24"/>
          <w:szCs w:val="24"/>
        </w:rPr>
        <w:t xml:space="preserve"> no 2018. līdz 2022.</w:t>
      </w:r>
      <w:r w:rsidR="003F72E3">
        <w:rPr>
          <w:rFonts w:ascii="Times New Roman" w:eastAsia="Times New Roman" w:hAnsi="Times New Roman" w:cs="Times New Roman"/>
          <w:color w:val="000000" w:themeColor="text1"/>
          <w:sz w:val="24"/>
          <w:szCs w:val="24"/>
        </w:rPr>
        <w:t xml:space="preserve"> </w:t>
      </w:r>
      <w:r w:rsidR="000E2D01" w:rsidRPr="008B60BD">
        <w:rPr>
          <w:rFonts w:ascii="Times New Roman" w:eastAsia="Times New Roman" w:hAnsi="Times New Roman" w:cs="Times New Roman"/>
          <w:color w:val="000000" w:themeColor="text1"/>
          <w:sz w:val="24"/>
          <w:szCs w:val="24"/>
        </w:rPr>
        <w:t xml:space="preserve">gadam ir samazinājies par </w:t>
      </w:r>
      <w:r w:rsidR="008B60BD" w:rsidRPr="008B60BD">
        <w:rPr>
          <w:rFonts w:ascii="Times New Roman" w:eastAsia="Times New Roman" w:hAnsi="Times New Roman" w:cs="Times New Roman"/>
          <w:color w:val="000000" w:themeColor="text1"/>
          <w:sz w:val="24"/>
          <w:szCs w:val="24"/>
        </w:rPr>
        <w:t>984 darba ņēmējiem jeb 4,8 %</w:t>
      </w:r>
      <w:r w:rsidR="00337751">
        <w:rPr>
          <w:rFonts w:ascii="Times New Roman" w:eastAsia="Times New Roman" w:hAnsi="Times New Roman" w:cs="Times New Roman"/>
          <w:color w:val="000000" w:themeColor="text1"/>
          <w:sz w:val="24"/>
          <w:szCs w:val="24"/>
        </w:rPr>
        <w:t>.</w:t>
      </w:r>
    </w:p>
    <w:p w14:paraId="36BD3C03" w14:textId="77777777" w:rsidR="007A31DF" w:rsidRDefault="003D2E88" w:rsidP="007A31DF">
      <w:pPr>
        <w:pStyle w:val="ListParagraph"/>
        <w:spacing w:before="120" w:after="120" w:line="240" w:lineRule="auto"/>
        <w:ind w:left="0" w:firstLine="714"/>
        <w:contextualSpacing w:val="0"/>
        <w:jc w:val="both"/>
        <w:rPr>
          <w:rFonts w:ascii="Times New Roman" w:eastAsia="Times New Roman" w:hAnsi="Times New Roman" w:cs="Times New Roman"/>
          <w:bCs/>
          <w:sz w:val="24"/>
          <w:szCs w:val="24"/>
        </w:rPr>
      </w:pPr>
      <w:r w:rsidRPr="003D2E88">
        <w:rPr>
          <w:rFonts w:ascii="Times New Roman" w:eastAsia="Times New Roman" w:hAnsi="Times New Roman" w:cs="Times New Roman"/>
          <w:sz w:val="24"/>
          <w:szCs w:val="24"/>
          <w:u w:val="single"/>
        </w:rPr>
        <w:t>Darbavietu sadalījums pēc vidējā darba bruto ienākumu apmēra</w:t>
      </w:r>
      <w:r w:rsidR="007A31DF" w:rsidRPr="007A31DF">
        <w:rPr>
          <w:rFonts w:ascii="Times New Roman" w:eastAsia="Times New Roman" w:hAnsi="Times New Roman" w:cs="Times New Roman"/>
          <w:bCs/>
          <w:sz w:val="24"/>
          <w:szCs w:val="24"/>
        </w:rPr>
        <w:t xml:space="preserve"> </w:t>
      </w:r>
    </w:p>
    <w:p w14:paraId="77953D6C" w14:textId="5018B88B" w:rsidR="007A31DF" w:rsidRDefault="007A31DF" w:rsidP="007A31DF">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sidRPr="00D05538">
        <w:rPr>
          <w:rFonts w:ascii="Times New Roman" w:eastAsia="Times New Roman" w:hAnsi="Times New Roman" w:cs="Times New Roman"/>
          <w:bCs/>
          <w:sz w:val="24"/>
          <w:szCs w:val="24"/>
        </w:rPr>
        <w:t>Darbavietu īpatsvar</w:t>
      </w:r>
      <w:r>
        <w:rPr>
          <w:rFonts w:ascii="Times New Roman" w:eastAsia="Times New Roman" w:hAnsi="Times New Roman" w:cs="Times New Roman"/>
          <w:bCs/>
          <w:sz w:val="24"/>
          <w:szCs w:val="24"/>
        </w:rPr>
        <w:t>a (pēc vidējā darba bruto ienākumu apmēra) pārmaiņu tendences augļkopības un dārzeņkopības nozarē ir līdzvērtīgas valstī vidējiem rādītājiem, un laikā no 2018. līdz 2022. gadam tās vidēji lauksaimniecības nozarē ir pozitīvas (7.attēls).</w:t>
      </w:r>
    </w:p>
    <w:p w14:paraId="33625093" w14:textId="77777777" w:rsidR="007A31DF" w:rsidRDefault="007A31DF" w:rsidP="007A31DF">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 gadā vidējo darba ienākumu apmērs aptuveni 30,7 % no visiem nodarbinātajiem augļkopības un dārzeņkopības nozarē bija mazāks par valstī noteikto minimālo darba algu. Vidēji valstī to darbavietu īpatsvars, kurās vidējo darba ienākumu apmērs bija mazāks par valstī noteikto minimālo darba algu, 2022. gadā bija mazāks – 25,7%. Jāpiebilst, ka 2022. gadā salīdzinājumā ar 2018. gadu ir samazinājies to darbavietu īpatsvars, kurās vidējais darba bruto ienākumu apmērs ir mazāks par valstī noteikto minimālo algu. Laikā no 2018. līdz 2022. gadam vidēji valstī tas samazinājās par pieciem procentpunktiem, bet augļkopības un dārzeņkopības nozarē – par sešiem procentpunktiem.</w:t>
      </w:r>
    </w:p>
    <w:p w14:paraId="4C6082D8" w14:textId="5DB9D704" w:rsidR="003D2E88" w:rsidRDefault="003D2E88" w:rsidP="00984382">
      <w:pPr>
        <w:tabs>
          <w:tab w:val="left" w:pos="1134"/>
        </w:tabs>
        <w:spacing w:before="120" w:after="120" w:line="240" w:lineRule="auto"/>
        <w:ind w:firstLine="709"/>
        <w:jc w:val="both"/>
        <w:rPr>
          <w:rFonts w:ascii="Times New Roman" w:eastAsia="Times New Roman" w:hAnsi="Times New Roman" w:cs="Times New Roman"/>
          <w:sz w:val="24"/>
          <w:szCs w:val="24"/>
          <w:u w:val="single"/>
        </w:rPr>
      </w:pPr>
    </w:p>
    <w:p w14:paraId="56745FC8" w14:textId="690C8D89" w:rsidR="000506A7" w:rsidRPr="003D2E88" w:rsidRDefault="000506A7" w:rsidP="000506A7">
      <w:pPr>
        <w:tabs>
          <w:tab w:val="left" w:pos="1134"/>
        </w:tabs>
        <w:spacing w:before="120" w:after="120" w:line="240" w:lineRule="auto"/>
        <w:ind w:hanging="284"/>
        <w:jc w:val="both"/>
        <w:rPr>
          <w:rFonts w:ascii="Times New Roman" w:eastAsia="Times New Roman" w:hAnsi="Times New Roman" w:cs="Times New Roman"/>
          <w:sz w:val="24"/>
          <w:szCs w:val="24"/>
          <w:u w:val="single"/>
        </w:rPr>
      </w:pPr>
      <w:r>
        <w:rPr>
          <w:noProof/>
          <w:lang w:eastAsia="lv-LV"/>
        </w:rPr>
        <w:lastRenderedPageBreak/>
        <w:drawing>
          <wp:inline distT="0" distB="0" distL="0" distR="0" wp14:anchorId="219EA9BF" wp14:editId="5B379FA3">
            <wp:extent cx="6390005" cy="4299439"/>
            <wp:effectExtent l="0" t="0" r="10795" b="6350"/>
            <wp:docPr id="4" name="Chart 4">
              <a:extLst xmlns:a="http://schemas.openxmlformats.org/drawingml/2006/main">
                <a:ext uri="{FF2B5EF4-FFF2-40B4-BE49-F238E27FC236}">
                  <a16:creationId xmlns:a16="http://schemas.microsoft.com/office/drawing/2014/main" id="{87200E94-95AE-4E5B-8830-6C95939682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6E9E2E" w14:textId="08C21B93" w:rsidR="005A4F0E" w:rsidRDefault="00B1011D" w:rsidP="005A4F0E">
      <w:pPr>
        <w:tabs>
          <w:tab w:val="left" w:pos="1134"/>
        </w:tabs>
        <w:spacing w:after="0" w:line="240" w:lineRule="auto"/>
        <w:ind w:firstLine="709"/>
        <w:jc w:val="both"/>
        <w:rPr>
          <w:rFonts w:ascii="Times New Roman" w:eastAsia="Times New Roman" w:hAnsi="Times New Roman" w:cs="Times New Roman"/>
          <w:sz w:val="24"/>
          <w:szCs w:val="24"/>
          <w:u w:val="single"/>
        </w:rPr>
      </w:pPr>
      <w:r w:rsidRPr="00981BD9">
        <w:rPr>
          <w:rFonts w:ascii="Times New Roman" w:hAnsi="Times New Roman" w:cs="Times New Roman"/>
          <w:sz w:val="24"/>
          <w:szCs w:val="24"/>
        </w:rPr>
        <w:t>7</w:t>
      </w:r>
      <w:r w:rsidR="005A4F0E" w:rsidRPr="00981BD9">
        <w:rPr>
          <w:rFonts w:ascii="Times New Roman" w:hAnsi="Times New Roman" w:cs="Times New Roman"/>
          <w:sz w:val="24"/>
          <w:szCs w:val="24"/>
        </w:rPr>
        <w:t>.</w:t>
      </w:r>
      <w:r w:rsidR="00EF5E2C">
        <w:rPr>
          <w:rFonts w:ascii="Times New Roman" w:hAnsi="Times New Roman" w:cs="Times New Roman"/>
          <w:sz w:val="24"/>
          <w:szCs w:val="24"/>
        </w:rPr>
        <w:t> </w:t>
      </w:r>
      <w:r w:rsidR="005A4F0E" w:rsidRPr="00981BD9">
        <w:rPr>
          <w:rFonts w:ascii="Times New Roman" w:hAnsi="Times New Roman" w:cs="Times New Roman"/>
          <w:sz w:val="24"/>
          <w:szCs w:val="24"/>
        </w:rPr>
        <w:t xml:space="preserve">attēls. </w:t>
      </w:r>
      <w:r w:rsidR="005A4F0E" w:rsidRPr="00061DEA">
        <w:rPr>
          <w:rFonts w:ascii="Times New Roman" w:eastAsia="Times New Roman" w:hAnsi="Times New Roman" w:cs="Times New Roman"/>
          <w:sz w:val="24"/>
          <w:szCs w:val="24"/>
        </w:rPr>
        <w:t>Darbavietu sadalījums pēc vidējā darba bruto ienākumu apmēra</w:t>
      </w:r>
      <w:r w:rsidR="00061DEA" w:rsidRPr="00061DEA">
        <w:rPr>
          <w:rFonts w:ascii="Times New Roman" w:eastAsia="Times New Roman" w:hAnsi="Times New Roman" w:cs="Times New Roman"/>
          <w:sz w:val="24"/>
          <w:szCs w:val="24"/>
        </w:rPr>
        <w:t xml:space="preserve"> vidēji valstī, vidēji lauksaimniecības nozarē un vidēji augļkopības un dārzeņkopības nozarē</w:t>
      </w:r>
      <w:r w:rsidR="005A4F0E" w:rsidRPr="00061DEA">
        <w:rPr>
          <w:rFonts w:ascii="Times New Roman" w:eastAsia="Times New Roman" w:hAnsi="Times New Roman" w:cs="Times New Roman"/>
          <w:sz w:val="24"/>
          <w:szCs w:val="24"/>
        </w:rPr>
        <w:t xml:space="preserve"> </w:t>
      </w:r>
      <w:r w:rsidR="00061DEA" w:rsidRPr="00061DEA">
        <w:rPr>
          <w:rFonts w:ascii="Times New Roman" w:eastAsia="Times New Roman" w:hAnsi="Times New Roman" w:cs="Times New Roman"/>
          <w:sz w:val="24"/>
          <w:szCs w:val="24"/>
        </w:rPr>
        <w:t>no 2018. līdz 2022.</w:t>
      </w:r>
      <w:r w:rsidR="00EF5E2C">
        <w:rPr>
          <w:rFonts w:ascii="Times New Roman" w:eastAsia="Times New Roman" w:hAnsi="Times New Roman" w:cs="Times New Roman"/>
          <w:sz w:val="24"/>
          <w:szCs w:val="24"/>
        </w:rPr>
        <w:t> </w:t>
      </w:r>
      <w:r w:rsidR="00061DEA" w:rsidRPr="00061DEA">
        <w:rPr>
          <w:rFonts w:ascii="Times New Roman" w:eastAsia="Times New Roman" w:hAnsi="Times New Roman" w:cs="Times New Roman"/>
          <w:sz w:val="24"/>
          <w:szCs w:val="24"/>
        </w:rPr>
        <w:t>gadam, procentos</w:t>
      </w:r>
    </w:p>
    <w:p w14:paraId="02D9BB50" w14:textId="77777777" w:rsidR="005A4F0E" w:rsidRPr="00734F1A" w:rsidRDefault="005A4F0E" w:rsidP="005A4F0E">
      <w:pPr>
        <w:tabs>
          <w:tab w:val="left" w:pos="1134"/>
        </w:tabs>
        <w:spacing w:after="120" w:line="240" w:lineRule="auto"/>
        <w:ind w:firstLine="709"/>
        <w:jc w:val="both"/>
        <w:rPr>
          <w:rFonts w:ascii="Times New Roman" w:eastAsia="Times New Roman" w:hAnsi="Times New Roman" w:cs="Times New Roman"/>
          <w:sz w:val="20"/>
          <w:szCs w:val="20"/>
        </w:rPr>
      </w:pPr>
      <w:r w:rsidRPr="00734F1A">
        <w:rPr>
          <w:rFonts w:ascii="Times New Roman" w:eastAsia="Times New Roman" w:hAnsi="Times New Roman" w:cs="Times New Roman"/>
          <w:i/>
          <w:sz w:val="20"/>
          <w:szCs w:val="20"/>
        </w:rPr>
        <w:t xml:space="preserve">Datu avots: </w:t>
      </w:r>
      <w:r w:rsidRPr="00734F1A">
        <w:rPr>
          <w:rFonts w:ascii="Times New Roman" w:eastAsia="Times New Roman" w:hAnsi="Times New Roman" w:cs="Times New Roman"/>
          <w:sz w:val="20"/>
          <w:szCs w:val="20"/>
        </w:rPr>
        <w:t>Zemkopības ministrija pēc VID datiem</w:t>
      </w:r>
    </w:p>
    <w:p w14:paraId="7AF914AB" w14:textId="20660A03" w:rsidR="00A52CAB" w:rsidRDefault="00D53C2A" w:rsidP="00BE61F2">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Katru</w:t>
      </w:r>
      <w:r w:rsidR="0089431A">
        <w:rPr>
          <w:rFonts w:ascii="Times New Roman" w:eastAsia="Times New Roman" w:hAnsi="Times New Roman" w:cs="Times New Roman"/>
          <w:bCs/>
          <w:sz w:val="24"/>
          <w:szCs w:val="24"/>
        </w:rPr>
        <w:t xml:space="preserve"> gadu ir p</w:t>
      </w:r>
      <w:r>
        <w:rPr>
          <w:rFonts w:ascii="Times New Roman" w:eastAsia="Times New Roman" w:hAnsi="Times New Roman" w:cs="Times New Roman"/>
          <w:bCs/>
          <w:sz w:val="24"/>
          <w:szCs w:val="24"/>
        </w:rPr>
        <w:t>alielinājies</w:t>
      </w:r>
      <w:r w:rsidR="0089431A">
        <w:rPr>
          <w:rFonts w:ascii="Times New Roman" w:eastAsia="Times New Roman" w:hAnsi="Times New Roman" w:cs="Times New Roman"/>
          <w:bCs/>
          <w:sz w:val="24"/>
          <w:szCs w:val="24"/>
        </w:rPr>
        <w:t xml:space="preserve"> </w:t>
      </w:r>
      <w:r w:rsidR="009B5985">
        <w:rPr>
          <w:rFonts w:ascii="Times New Roman" w:eastAsia="Times New Roman" w:hAnsi="Times New Roman" w:cs="Times New Roman"/>
          <w:bCs/>
          <w:sz w:val="24"/>
          <w:szCs w:val="24"/>
        </w:rPr>
        <w:t xml:space="preserve">to darbavietu </w:t>
      </w:r>
      <w:r w:rsidR="00A14C46">
        <w:rPr>
          <w:rFonts w:ascii="Times New Roman" w:eastAsia="Times New Roman" w:hAnsi="Times New Roman" w:cs="Times New Roman"/>
          <w:bCs/>
          <w:sz w:val="24"/>
          <w:szCs w:val="24"/>
        </w:rPr>
        <w:t>īpatsvars</w:t>
      </w:r>
      <w:r w:rsidR="009B5985">
        <w:rPr>
          <w:rFonts w:ascii="Times New Roman" w:eastAsia="Times New Roman" w:hAnsi="Times New Roman" w:cs="Times New Roman"/>
          <w:bCs/>
          <w:sz w:val="24"/>
          <w:szCs w:val="24"/>
        </w:rPr>
        <w:t xml:space="preserve">, </w:t>
      </w:r>
      <w:r w:rsidR="00831CB5">
        <w:rPr>
          <w:rFonts w:ascii="Times New Roman" w:eastAsia="Times New Roman" w:hAnsi="Times New Roman" w:cs="Times New Roman"/>
          <w:bCs/>
          <w:sz w:val="24"/>
          <w:szCs w:val="24"/>
        </w:rPr>
        <w:t xml:space="preserve">kurās </w:t>
      </w:r>
      <w:r w:rsidR="006C37A4">
        <w:rPr>
          <w:rFonts w:ascii="Times New Roman" w:eastAsia="Times New Roman" w:hAnsi="Times New Roman" w:cs="Times New Roman"/>
          <w:bCs/>
          <w:sz w:val="24"/>
          <w:szCs w:val="24"/>
        </w:rPr>
        <w:t xml:space="preserve">vidējie darba bruto ienākumi ir vienādi ar valstī noteikto </w:t>
      </w:r>
      <w:r w:rsidR="00281977">
        <w:rPr>
          <w:rFonts w:ascii="Times New Roman" w:eastAsia="Times New Roman" w:hAnsi="Times New Roman" w:cs="Times New Roman"/>
          <w:bCs/>
          <w:sz w:val="24"/>
          <w:szCs w:val="24"/>
        </w:rPr>
        <w:t>minimālo darba algu</w:t>
      </w:r>
      <w:r w:rsidR="00096C2C">
        <w:rPr>
          <w:rFonts w:ascii="Times New Roman" w:eastAsia="Times New Roman" w:hAnsi="Times New Roman" w:cs="Times New Roman"/>
          <w:bCs/>
          <w:sz w:val="24"/>
          <w:szCs w:val="24"/>
        </w:rPr>
        <w:t>. Laikā no 2018. līdz 2022.</w:t>
      </w:r>
      <w:r>
        <w:rPr>
          <w:rFonts w:ascii="Times New Roman" w:eastAsia="Times New Roman" w:hAnsi="Times New Roman" w:cs="Times New Roman"/>
          <w:bCs/>
          <w:sz w:val="24"/>
          <w:szCs w:val="24"/>
        </w:rPr>
        <w:t xml:space="preserve"> </w:t>
      </w:r>
      <w:r w:rsidR="00096C2C">
        <w:rPr>
          <w:rFonts w:ascii="Times New Roman" w:eastAsia="Times New Roman" w:hAnsi="Times New Roman" w:cs="Times New Roman"/>
          <w:bCs/>
          <w:sz w:val="24"/>
          <w:szCs w:val="24"/>
        </w:rPr>
        <w:t xml:space="preserve">gadam </w:t>
      </w:r>
      <w:r>
        <w:rPr>
          <w:rFonts w:ascii="Times New Roman" w:eastAsia="Times New Roman" w:hAnsi="Times New Roman" w:cs="Times New Roman"/>
          <w:bCs/>
          <w:sz w:val="24"/>
          <w:szCs w:val="24"/>
        </w:rPr>
        <w:t xml:space="preserve">to </w:t>
      </w:r>
      <w:r w:rsidR="00A14C46">
        <w:rPr>
          <w:rFonts w:ascii="Times New Roman" w:eastAsia="Times New Roman" w:hAnsi="Times New Roman" w:cs="Times New Roman"/>
          <w:bCs/>
          <w:sz w:val="24"/>
          <w:szCs w:val="24"/>
        </w:rPr>
        <w:t>darbavietu īpatsvars, kurās vidējie darba bruto ienākumi ir vienādi ar valstī noteikto minimālo darba algu</w:t>
      </w:r>
      <w:r>
        <w:rPr>
          <w:rFonts w:ascii="Times New Roman" w:eastAsia="Times New Roman" w:hAnsi="Times New Roman" w:cs="Times New Roman"/>
          <w:bCs/>
          <w:sz w:val="24"/>
          <w:szCs w:val="24"/>
        </w:rPr>
        <w:t>,</w:t>
      </w:r>
      <w:r w:rsidR="00A14C46">
        <w:rPr>
          <w:rFonts w:ascii="Times New Roman" w:eastAsia="Times New Roman" w:hAnsi="Times New Roman" w:cs="Times New Roman"/>
          <w:bCs/>
          <w:sz w:val="24"/>
          <w:szCs w:val="24"/>
        </w:rPr>
        <w:t xml:space="preserve"> valstī vidēji ir pieaudzis par </w:t>
      </w:r>
      <w:r>
        <w:rPr>
          <w:rFonts w:ascii="Times New Roman" w:eastAsia="Times New Roman" w:hAnsi="Times New Roman" w:cs="Times New Roman"/>
          <w:bCs/>
          <w:sz w:val="24"/>
          <w:szCs w:val="24"/>
        </w:rPr>
        <w:t>vienu</w:t>
      </w:r>
      <w:r w:rsidR="00A14C46">
        <w:rPr>
          <w:rFonts w:ascii="Times New Roman" w:eastAsia="Times New Roman" w:hAnsi="Times New Roman" w:cs="Times New Roman"/>
          <w:bCs/>
          <w:sz w:val="24"/>
          <w:szCs w:val="24"/>
        </w:rPr>
        <w:t xml:space="preserve"> procentpunktu</w:t>
      </w:r>
      <w:r w:rsidR="00096C2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be</w:t>
      </w:r>
      <w:r w:rsidR="00096C2C">
        <w:rPr>
          <w:rFonts w:ascii="Times New Roman" w:eastAsia="Times New Roman" w:hAnsi="Times New Roman" w:cs="Times New Roman"/>
          <w:bCs/>
          <w:sz w:val="24"/>
          <w:szCs w:val="24"/>
        </w:rPr>
        <w:t xml:space="preserve">t augļkopības un dārzeņkopības nozarē </w:t>
      </w:r>
      <w:r>
        <w:rPr>
          <w:rFonts w:ascii="Times New Roman" w:eastAsia="Times New Roman" w:hAnsi="Times New Roman" w:cs="Times New Roman"/>
          <w:bCs/>
          <w:sz w:val="24"/>
          <w:szCs w:val="24"/>
        </w:rPr>
        <w:t xml:space="preserve">– </w:t>
      </w:r>
      <w:r w:rsidR="00096C2C">
        <w:rPr>
          <w:rFonts w:ascii="Times New Roman" w:eastAsia="Times New Roman" w:hAnsi="Times New Roman" w:cs="Times New Roman"/>
          <w:bCs/>
          <w:sz w:val="24"/>
          <w:szCs w:val="24"/>
        </w:rPr>
        <w:t xml:space="preserve">par </w:t>
      </w:r>
      <w:r>
        <w:rPr>
          <w:rFonts w:ascii="Times New Roman" w:eastAsia="Times New Roman" w:hAnsi="Times New Roman" w:cs="Times New Roman"/>
          <w:bCs/>
          <w:sz w:val="24"/>
          <w:szCs w:val="24"/>
        </w:rPr>
        <w:t xml:space="preserve">diviem </w:t>
      </w:r>
      <w:r w:rsidR="00067E96">
        <w:rPr>
          <w:rFonts w:ascii="Times New Roman" w:eastAsia="Times New Roman" w:hAnsi="Times New Roman" w:cs="Times New Roman"/>
          <w:bCs/>
          <w:sz w:val="24"/>
          <w:szCs w:val="24"/>
        </w:rPr>
        <w:t>procentpunktiem</w:t>
      </w:r>
      <w:r w:rsidR="00096C2C">
        <w:rPr>
          <w:rFonts w:ascii="Times New Roman" w:eastAsia="Times New Roman" w:hAnsi="Times New Roman" w:cs="Times New Roman"/>
          <w:bCs/>
          <w:sz w:val="24"/>
          <w:szCs w:val="24"/>
        </w:rPr>
        <w:t>.</w:t>
      </w:r>
      <w:r w:rsidR="00BE61F2">
        <w:rPr>
          <w:rFonts w:ascii="Times New Roman" w:eastAsia="Times New Roman" w:hAnsi="Times New Roman" w:cs="Times New Roman"/>
          <w:bCs/>
          <w:sz w:val="24"/>
          <w:szCs w:val="24"/>
        </w:rPr>
        <w:t xml:space="preserve"> </w:t>
      </w:r>
      <w:r w:rsidR="00096C2C">
        <w:rPr>
          <w:rFonts w:ascii="Times New Roman" w:eastAsia="Times New Roman" w:hAnsi="Times New Roman" w:cs="Times New Roman"/>
          <w:bCs/>
          <w:sz w:val="24"/>
          <w:szCs w:val="24"/>
        </w:rPr>
        <w:t>V</w:t>
      </w:r>
      <w:r w:rsidR="00281977">
        <w:rPr>
          <w:rFonts w:ascii="Times New Roman" w:eastAsia="Times New Roman" w:hAnsi="Times New Roman" w:cs="Times New Roman"/>
          <w:bCs/>
          <w:sz w:val="24"/>
          <w:szCs w:val="24"/>
        </w:rPr>
        <w:t>alstī vidēji šādu darbavietu īpatsvars 2022.</w:t>
      </w:r>
      <w:r w:rsidR="00EF5E2C">
        <w:rPr>
          <w:rFonts w:ascii="Times New Roman" w:eastAsia="Times New Roman" w:hAnsi="Times New Roman" w:cs="Times New Roman"/>
          <w:bCs/>
          <w:sz w:val="24"/>
          <w:szCs w:val="24"/>
        </w:rPr>
        <w:t> </w:t>
      </w:r>
      <w:r w:rsidR="00281977">
        <w:rPr>
          <w:rFonts w:ascii="Times New Roman" w:eastAsia="Times New Roman" w:hAnsi="Times New Roman" w:cs="Times New Roman"/>
          <w:bCs/>
          <w:sz w:val="24"/>
          <w:szCs w:val="24"/>
        </w:rPr>
        <w:t xml:space="preserve">gadā veidoja </w:t>
      </w:r>
      <w:r w:rsidR="001551F4">
        <w:rPr>
          <w:rFonts w:ascii="Times New Roman" w:eastAsia="Times New Roman" w:hAnsi="Times New Roman" w:cs="Times New Roman"/>
          <w:bCs/>
          <w:sz w:val="24"/>
          <w:szCs w:val="24"/>
        </w:rPr>
        <w:t>4,2</w:t>
      </w:r>
      <w:r w:rsidR="00EF5E2C">
        <w:rPr>
          <w:rFonts w:ascii="Times New Roman" w:eastAsia="Times New Roman" w:hAnsi="Times New Roman" w:cs="Times New Roman"/>
          <w:bCs/>
          <w:sz w:val="24"/>
          <w:szCs w:val="24"/>
        </w:rPr>
        <w:t xml:space="preserve"> </w:t>
      </w:r>
      <w:r w:rsidR="001551F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be</w:t>
      </w:r>
      <w:r w:rsidR="001551F4">
        <w:rPr>
          <w:rFonts w:ascii="Times New Roman" w:eastAsia="Times New Roman" w:hAnsi="Times New Roman" w:cs="Times New Roman"/>
          <w:bCs/>
          <w:sz w:val="24"/>
          <w:szCs w:val="24"/>
        </w:rPr>
        <w:t xml:space="preserve">t augļkopības un dārzeņkopības nozarē </w:t>
      </w:r>
      <w:r w:rsidR="00EA0EA4">
        <w:rPr>
          <w:rFonts w:ascii="Times New Roman" w:eastAsia="Times New Roman" w:hAnsi="Times New Roman" w:cs="Times New Roman"/>
          <w:bCs/>
          <w:sz w:val="24"/>
          <w:szCs w:val="24"/>
        </w:rPr>
        <w:t xml:space="preserve">nedaudz vairāk – </w:t>
      </w:r>
      <w:r w:rsidR="00CB0880">
        <w:rPr>
          <w:rFonts w:ascii="Times New Roman" w:eastAsia="Times New Roman" w:hAnsi="Times New Roman" w:cs="Times New Roman"/>
          <w:bCs/>
          <w:sz w:val="24"/>
          <w:szCs w:val="24"/>
        </w:rPr>
        <w:t>10,7</w:t>
      </w:r>
      <w:r w:rsidR="00EF5E2C">
        <w:rPr>
          <w:rFonts w:ascii="Times New Roman" w:eastAsia="Times New Roman" w:hAnsi="Times New Roman" w:cs="Times New Roman"/>
          <w:bCs/>
          <w:sz w:val="24"/>
          <w:szCs w:val="24"/>
        </w:rPr>
        <w:t> </w:t>
      </w:r>
      <w:r w:rsidR="00EA0EA4">
        <w:rPr>
          <w:rFonts w:ascii="Times New Roman" w:eastAsia="Times New Roman" w:hAnsi="Times New Roman" w:cs="Times New Roman"/>
          <w:bCs/>
          <w:sz w:val="24"/>
          <w:szCs w:val="24"/>
        </w:rPr>
        <w:t>%.</w:t>
      </w:r>
      <w:r w:rsidR="00096C2C">
        <w:rPr>
          <w:rFonts w:ascii="Times New Roman" w:eastAsia="Times New Roman" w:hAnsi="Times New Roman" w:cs="Times New Roman"/>
          <w:bCs/>
          <w:sz w:val="24"/>
          <w:szCs w:val="24"/>
        </w:rPr>
        <w:t xml:space="preserve"> </w:t>
      </w:r>
    </w:p>
    <w:p w14:paraId="558CDDE0" w14:textId="2839291C" w:rsidR="00EA0EA4" w:rsidRDefault="00EA0EA4" w:rsidP="00D65087">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Vislielākais darbavietu </w:t>
      </w:r>
      <w:r w:rsidR="00023F1A">
        <w:rPr>
          <w:rFonts w:ascii="Times New Roman" w:eastAsia="Times New Roman" w:hAnsi="Times New Roman" w:cs="Times New Roman"/>
          <w:bCs/>
          <w:sz w:val="24"/>
          <w:szCs w:val="24"/>
        </w:rPr>
        <w:t>īpatsvars</w:t>
      </w:r>
      <w:r>
        <w:rPr>
          <w:rFonts w:ascii="Times New Roman" w:eastAsia="Times New Roman" w:hAnsi="Times New Roman" w:cs="Times New Roman"/>
          <w:bCs/>
          <w:sz w:val="24"/>
          <w:szCs w:val="24"/>
        </w:rPr>
        <w:t xml:space="preserve"> joprojām ir tajā grupā, kurā vidējā darba bruto ienākumu apmērs ir no valstī noteiktās minimālās darba algas līdz 1000 </w:t>
      </w:r>
      <w:proofErr w:type="spellStart"/>
      <w:r w:rsidRPr="00EA0EA4">
        <w:rPr>
          <w:rFonts w:ascii="Times New Roman" w:eastAsia="Times New Roman" w:hAnsi="Times New Roman" w:cs="Times New Roman"/>
          <w:bCs/>
          <w:i/>
          <w:iCs/>
          <w:sz w:val="24"/>
          <w:szCs w:val="24"/>
        </w:rPr>
        <w:t>euro</w:t>
      </w:r>
      <w:proofErr w:type="spellEnd"/>
      <w:r w:rsidR="00A70472">
        <w:rPr>
          <w:rFonts w:ascii="Times New Roman" w:eastAsia="Times New Roman" w:hAnsi="Times New Roman" w:cs="Times New Roman"/>
          <w:bCs/>
          <w:sz w:val="24"/>
          <w:szCs w:val="24"/>
        </w:rPr>
        <w:t>:</w:t>
      </w:r>
      <w:r w:rsidR="00023F1A">
        <w:rPr>
          <w:rFonts w:ascii="Times New Roman" w:eastAsia="Times New Roman" w:hAnsi="Times New Roman" w:cs="Times New Roman"/>
          <w:bCs/>
          <w:sz w:val="24"/>
          <w:szCs w:val="24"/>
        </w:rPr>
        <w:t xml:space="preserve"> valstī vidēji tie ir </w:t>
      </w:r>
      <w:r w:rsidR="005A33F9">
        <w:rPr>
          <w:rFonts w:ascii="Times New Roman" w:eastAsia="Times New Roman" w:hAnsi="Times New Roman" w:cs="Times New Roman"/>
          <w:bCs/>
          <w:sz w:val="24"/>
          <w:szCs w:val="24"/>
        </w:rPr>
        <w:t>28</w:t>
      </w:r>
      <w:r w:rsidR="00A70472">
        <w:rPr>
          <w:rFonts w:ascii="Times New Roman" w:eastAsia="Times New Roman" w:hAnsi="Times New Roman" w:cs="Times New Roman"/>
          <w:bCs/>
          <w:sz w:val="24"/>
          <w:szCs w:val="24"/>
        </w:rPr>
        <w:t> </w:t>
      </w:r>
      <w:r w:rsidR="005A33F9">
        <w:rPr>
          <w:rFonts w:ascii="Times New Roman" w:eastAsia="Times New Roman" w:hAnsi="Times New Roman" w:cs="Times New Roman"/>
          <w:bCs/>
          <w:sz w:val="24"/>
          <w:szCs w:val="24"/>
        </w:rPr>
        <w:t xml:space="preserve">% darbavietu, </w:t>
      </w:r>
      <w:r w:rsidR="00A70472">
        <w:rPr>
          <w:rFonts w:ascii="Times New Roman" w:eastAsia="Times New Roman" w:hAnsi="Times New Roman" w:cs="Times New Roman"/>
          <w:bCs/>
          <w:sz w:val="24"/>
          <w:szCs w:val="24"/>
        </w:rPr>
        <w:t>be</w:t>
      </w:r>
      <w:r w:rsidR="005A33F9">
        <w:rPr>
          <w:rFonts w:ascii="Times New Roman" w:eastAsia="Times New Roman" w:hAnsi="Times New Roman" w:cs="Times New Roman"/>
          <w:bCs/>
          <w:sz w:val="24"/>
          <w:szCs w:val="24"/>
        </w:rPr>
        <w:t xml:space="preserve">t augkopības un dārzeņkopības nozarē </w:t>
      </w:r>
      <w:r w:rsidR="001A157C">
        <w:rPr>
          <w:rFonts w:ascii="Times New Roman" w:eastAsia="Times New Roman" w:hAnsi="Times New Roman" w:cs="Times New Roman"/>
          <w:bCs/>
          <w:sz w:val="24"/>
          <w:szCs w:val="24"/>
        </w:rPr>
        <w:t>–</w:t>
      </w:r>
      <w:r w:rsidR="005A33F9">
        <w:rPr>
          <w:rFonts w:ascii="Times New Roman" w:eastAsia="Times New Roman" w:hAnsi="Times New Roman" w:cs="Times New Roman"/>
          <w:bCs/>
          <w:sz w:val="24"/>
          <w:szCs w:val="24"/>
        </w:rPr>
        <w:t xml:space="preserve"> </w:t>
      </w:r>
      <w:r w:rsidR="001A157C">
        <w:rPr>
          <w:rFonts w:ascii="Times New Roman" w:eastAsia="Times New Roman" w:hAnsi="Times New Roman" w:cs="Times New Roman"/>
          <w:bCs/>
          <w:sz w:val="24"/>
          <w:szCs w:val="24"/>
        </w:rPr>
        <w:t>32,6</w:t>
      </w:r>
      <w:r w:rsidR="00EF5E2C">
        <w:rPr>
          <w:rFonts w:ascii="Times New Roman" w:eastAsia="Times New Roman" w:hAnsi="Times New Roman" w:cs="Times New Roman"/>
          <w:bCs/>
          <w:sz w:val="24"/>
          <w:szCs w:val="24"/>
        </w:rPr>
        <w:t xml:space="preserve"> </w:t>
      </w:r>
      <w:r w:rsidR="001A157C">
        <w:rPr>
          <w:rFonts w:ascii="Times New Roman" w:eastAsia="Times New Roman" w:hAnsi="Times New Roman" w:cs="Times New Roman"/>
          <w:bCs/>
          <w:sz w:val="24"/>
          <w:szCs w:val="24"/>
        </w:rPr>
        <w:t>%.</w:t>
      </w:r>
      <w:r w:rsidR="00563F95">
        <w:rPr>
          <w:rFonts w:ascii="Times New Roman" w:eastAsia="Times New Roman" w:hAnsi="Times New Roman" w:cs="Times New Roman"/>
          <w:bCs/>
          <w:sz w:val="24"/>
          <w:szCs w:val="24"/>
        </w:rPr>
        <w:t xml:space="preserve"> Tomēr šādu darbavietu skaits ik gadu samazinās</w:t>
      </w:r>
      <w:r w:rsidR="00977424">
        <w:rPr>
          <w:rFonts w:ascii="Times New Roman" w:eastAsia="Times New Roman" w:hAnsi="Times New Roman" w:cs="Times New Roman"/>
          <w:bCs/>
          <w:sz w:val="24"/>
          <w:szCs w:val="24"/>
        </w:rPr>
        <w:t>:</w:t>
      </w:r>
      <w:r w:rsidR="002B596F">
        <w:rPr>
          <w:rFonts w:ascii="Times New Roman" w:eastAsia="Times New Roman" w:hAnsi="Times New Roman" w:cs="Times New Roman"/>
          <w:bCs/>
          <w:sz w:val="24"/>
          <w:szCs w:val="24"/>
        </w:rPr>
        <w:t xml:space="preserve"> </w:t>
      </w:r>
      <w:r w:rsidR="00563F95">
        <w:rPr>
          <w:rFonts w:ascii="Times New Roman" w:eastAsia="Times New Roman" w:hAnsi="Times New Roman" w:cs="Times New Roman"/>
          <w:bCs/>
          <w:sz w:val="24"/>
          <w:szCs w:val="24"/>
        </w:rPr>
        <w:t>no 2018. līdz 2022.</w:t>
      </w:r>
      <w:r w:rsidR="00EF5E2C">
        <w:rPr>
          <w:rFonts w:ascii="Times New Roman" w:eastAsia="Times New Roman" w:hAnsi="Times New Roman" w:cs="Times New Roman"/>
          <w:bCs/>
          <w:sz w:val="24"/>
          <w:szCs w:val="24"/>
        </w:rPr>
        <w:t xml:space="preserve"> </w:t>
      </w:r>
      <w:r w:rsidR="00563F95">
        <w:rPr>
          <w:rFonts w:ascii="Times New Roman" w:eastAsia="Times New Roman" w:hAnsi="Times New Roman" w:cs="Times New Roman"/>
          <w:bCs/>
          <w:sz w:val="24"/>
          <w:szCs w:val="24"/>
        </w:rPr>
        <w:t xml:space="preserve">gadam </w:t>
      </w:r>
      <w:r w:rsidR="00A70472">
        <w:rPr>
          <w:rFonts w:ascii="Times New Roman" w:eastAsia="Times New Roman" w:hAnsi="Times New Roman" w:cs="Times New Roman"/>
          <w:bCs/>
          <w:sz w:val="24"/>
          <w:szCs w:val="24"/>
        </w:rPr>
        <w:t>to</w:t>
      </w:r>
      <w:r w:rsidR="00563F95">
        <w:rPr>
          <w:rFonts w:ascii="Times New Roman" w:eastAsia="Times New Roman" w:hAnsi="Times New Roman" w:cs="Times New Roman"/>
          <w:bCs/>
          <w:sz w:val="24"/>
          <w:szCs w:val="24"/>
        </w:rPr>
        <w:t xml:space="preserve"> īpatsvars vidēji valstī ir samazinājies par 11</w:t>
      </w:r>
      <w:r w:rsidR="00A70472">
        <w:rPr>
          <w:rFonts w:ascii="Times New Roman" w:eastAsia="Times New Roman" w:hAnsi="Times New Roman" w:cs="Times New Roman"/>
          <w:bCs/>
          <w:sz w:val="24"/>
          <w:szCs w:val="24"/>
        </w:rPr>
        <w:t> </w:t>
      </w:r>
      <w:r w:rsidR="00563F95">
        <w:rPr>
          <w:rFonts w:ascii="Times New Roman" w:eastAsia="Times New Roman" w:hAnsi="Times New Roman" w:cs="Times New Roman"/>
          <w:bCs/>
          <w:sz w:val="24"/>
          <w:szCs w:val="24"/>
        </w:rPr>
        <w:t xml:space="preserve">procentpunktiem un augļkopības un dārzeņkopības nozarē </w:t>
      </w:r>
      <w:r w:rsidR="00A70472">
        <w:rPr>
          <w:rFonts w:ascii="Times New Roman" w:eastAsia="Times New Roman" w:hAnsi="Times New Roman" w:cs="Times New Roman"/>
          <w:bCs/>
          <w:sz w:val="24"/>
          <w:szCs w:val="24"/>
        </w:rPr>
        <w:t xml:space="preserve">– </w:t>
      </w:r>
      <w:r w:rsidR="00563F95">
        <w:rPr>
          <w:rFonts w:ascii="Times New Roman" w:eastAsia="Times New Roman" w:hAnsi="Times New Roman" w:cs="Times New Roman"/>
          <w:bCs/>
          <w:sz w:val="24"/>
          <w:szCs w:val="24"/>
        </w:rPr>
        <w:t xml:space="preserve">par </w:t>
      </w:r>
      <w:r w:rsidR="00A70472">
        <w:rPr>
          <w:rFonts w:ascii="Times New Roman" w:eastAsia="Times New Roman" w:hAnsi="Times New Roman" w:cs="Times New Roman"/>
          <w:bCs/>
          <w:sz w:val="24"/>
          <w:szCs w:val="24"/>
        </w:rPr>
        <w:t>septiņiem</w:t>
      </w:r>
      <w:r w:rsidR="00563F95">
        <w:rPr>
          <w:rFonts w:ascii="Times New Roman" w:eastAsia="Times New Roman" w:hAnsi="Times New Roman" w:cs="Times New Roman"/>
          <w:bCs/>
          <w:sz w:val="24"/>
          <w:szCs w:val="24"/>
        </w:rPr>
        <w:t xml:space="preserve"> procentpunktiem.</w:t>
      </w:r>
    </w:p>
    <w:p w14:paraId="64E5BCDE" w14:textId="1DBB9BD9" w:rsidR="002B596F" w:rsidRDefault="00563F95" w:rsidP="00D65087">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Savukārt ik gadu </w:t>
      </w:r>
      <w:r w:rsidR="00A70472">
        <w:rPr>
          <w:rFonts w:ascii="Times New Roman" w:eastAsia="Times New Roman" w:hAnsi="Times New Roman" w:cs="Times New Roman"/>
          <w:bCs/>
          <w:sz w:val="24"/>
          <w:szCs w:val="24"/>
        </w:rPr>
        <w:t>kļūst vairāk</w:t>
      </w:r>
      <w:r>
        <w:rPr>
          <w:rFonts w:ascii="Times New Roman" w:eastAsia="Times New Roman" w:hAnsi="Times New Roman" w:cs="Times New Roman"/>
          <w:bCs/>
          <w:sz w:val="24"/>
          <w:szCs w:val="24"/>
        </w:rPr>
        <w:t xml:space="preserve"> </w:t>
      </w:r>
      <w:r w:rsidR="0077620C">
        <w:rPr>
          <w:rFonts w:ascii="Times New Roman" w:eastAsia="Times New Roman" w:hAnsi="Times New Roman" w:cs="Times New Roman"/>
          <w:bCs/>
          <w:sz w:val="24"/>
          <w:szCs w:val="24"/>
        </w:rPr>
        <w:t xml:space="preserve">to </w:t>
      </w:r>
      <w:r>
        <w:rPr>
          <w:rFonts w:ascii="Times New Roman" w:eastAsia="Times New Roman" w:hAnsi="Times New Roman" w:cs="Times New Roman"/>
          <w:bCs/>
          <w:sz w:val="24"/>
          <w:szCs w:val="24"/>
        </w:rPr>
        <w:t xml:space="preserve">darbavietu, </w:t>
      </w:r>
      <w:r w:rsidR="0077620C">
        <w:rPr>
          <w:rFonts w:ascii="Times New Roman" w:eastAsia="Times New Roman" w:hAnsi="Times New Roman" w:cs="Times New Roman"/>
          <w:bCs/>
          <w:sz w:val="24"/>
          <w:szCs w:val="24"/>
        </w:rPr>
        <w:t xml:space="preserve">kurās vidējais darba bruto ienākumu apmērs ir virs 1000 </w:t>
      </w:r>
      <w:proofErr w:type="spellStart"/>
      <w:r w:rsidR="0077620C" w:rsidRPr="0077620C">
        <w:rPr>
          <w:rFonts w:ascii="Times New Roman" w:eastAsia="Times New Roman" w:hAnsi="Times New Roman" w:cs="Times New Roman"/>
          <w:bCs/>
          <w:i/>
          <w:iCs/>
          <w:sz w:val="24"/>
          <w:szCs w:val="24"/>
        </w:rPr>
        <w:t>euro</w:t>
      </w:r>
      <w:proofErr w:type="spellEnd"/>
      <w:r w:rsidR="0077620C">
        <w:rPr>
          <w:rFonts w:ascii="Times New Roman" w:eastAsia="Times New Roman" w:hAnsi="Times New Roman" w:cs="Times New Roman"/>
          <w:bCs/>
          <w:sz w:val="24"/>
          <w:szCs w:val="24"/>
        </w:rPr>
        <w:t xml:space="preserve">. </w:t>
      </w:r>
      <w:r w:rsidR="002B596F">
        <w:rPr>
          <w:rFonts w:ascii="Times New Roman" w:eastAsia="Times New Roman" w:hAnsi="Times New Roman" w:cs="Times New Roman"/>
          <w:bCs/>
          <w:sz w:val="24"/>
          <w:szCs w:val="24"/>
        </w:rPr>
        <w:t>Laikā no 2018. līdz 2022.</w:t>
      </w:r>
      <w:r w:rsidR="00EF5E2C">
        <w:rPr>
          <w:rFonts w:ascii="Times New Roman" w:eastAsia="Times New Roman" w:hAnsi="Times New Roman" w:cs="Times New Roman"/>
          <w:bCs/>
          <w:sz w:val="24"/>
          <w:szCs w:val="24"/>
        </w:rPr>
        <w:t> </w:t>
      </w:r>
      <w:r w:rsidR="002B596F">
        <w:rPr>
          <w:rFonts w:ascii="Times New Roman" w:eastAsia="Times New Roman" w:hAnsi="Times New Roman" w:cs="Times New Roman"/>
          <w:bCs/>
          <w:sz w:val="24"/>
          <w:szCs w:val="24"/>
        </w:rPr>
        <w:t xml:space="preserve">gadam šādu darbavietu īpatsvars vidēji valstī ir pieaudzis par 16 procentpunktiem un augļkopības un dārzeņkopības nozarē </w:t>
      </w:r>
      <w:r w:rsidR="00EF5E2C">
        <w:rPr>
          <w:rFonts w:ascii="Times New Roman" w:eastAsia="Times New Roman" w:hAnsi="Times New Roman" w:cs="Times New Roman"/>
          <w:bCs/>
          <w:sz w:val="24"/>
          <w:szCs w:val="24"/>
        </w:rPr>
        <w:t xml:space="preserve">– </w:t>
      </w:r>
      <w:r w:rsidR="002B596F">
        <w:rPr>
          <w:rFonts w:ascii="Times New Roman" w:eastAsia="Times New Roman" w:hAnsi="Times New Roman" w:cs="Times New Roman"/>
          <w:bCs/>
          <w:sz w:val="24"/>
          <w:szCs w:val="24"/>
        </w:rPr>
        <w:t>par 11</w:t>
      </w:r>
      <w:r w:rsidR="00EF5E2C">
        <w:rPr>
          <w:rFonts w:ascii="Times New Roman" w:eastAsia="Times New Roman" w:hAnsi="Times New Roman" w:cs="Times New Roman"/>
          <w:bCs/>
          <w:sz w:val="24"/>
          <w:szCs w:val="24"/>
        </w:rPr>
        <w:t> </w:t>
      </w:r>
      <w:r w:rsidR="002B596F">
        <w:rPr>
          <w:rFonts w:ascii="Times New Roman" w:eastAsia="Times New Roman" w:hAnsi="Times New Roman" w:cs="Times New Roman"/>
          <w:bCs/>
          <w:sz w:val="24"/>
          <w:szCs w:val="24"/>
        </w:rPr>
        <w:t>procentpunktiem.</w:t>
      </w:r>
    </w:p>
    <w:p w14:paraId="3DC68A77" w14:textId="7EEC76C0" w:rsidR="001A157C" w:rsidRDefault="00A205A3" w:rsidP="00D65087">
      <w:pPr>
        <w:pStyle w:val="ListParagraph"/>
        <w:spacing w:after="120" w:line="240" w:lineRule="auto"/>
        <w:ind w:left="0" w:firstLine="709"/>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Arī tas, ka aizvien vairāk </w:t>
      </w:r>
      <w:r w:rsidR="00A70472">
        <w:rPr>
          <w:rFonts w:ascii="Times New Roman" w:eastAsia="Times New Roman" w:hAnsi="Times New Roman" w:cs="Times New Roman"/>
          <w:bCs/>
          <w:sz w:val="24"/>
          <w:szCs w:val="24"/>
        </w:rPr>
        <w:t>kļūst</w:t>
      </w:r>
      <w:r>
        <w:rPr>
          <w:rFonts w:ascii="Times New Roman" w:eastAsia="Times New Roman" w:hAnsi="Times New Roman" w:cs="Times New Roman"/>
          <w:bCs/>
          <w:sz w:val="24"/>
          <w:szCs w:val="24"/>
        </w:rPr>
        <w:t xml:space="preserve"> tādu darbavietu, kurās vidējais darba bruto ienākumu apmērs ir virs 1000</w:t>
      </w:r>
      <w:r w:rsidRPr="00E2389F">
        <w:rPr>
          <w:rFonts w:ascii="Times New Roman" w:eastAsia="Times New Roman" w:hAnsi="Times New Roman" w:cs="Times New Roman"/>
          <w:bCs/>
          <w:i/>
          <w:iCs/>
          <w:sz w:val="24"/>
          <w:szCs w:val="24"/>
        </w:rPr>
        <w:t xml:space="preserve"> </w:t>
      </w:r>
      <w:proofErr w:type="spellStart"/>
      <w:r w:rsidRPr="00E2389F">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sz w:val="24"/>
          <w:szCs w:val="24"/>
        </w:rPr>
        <w:t>, kā arī samazinās tādu darbavietu īpatsvars, kurās vidējais darba bruto ienākumu apmērs</w:t>
      </w:r>
      <w:r w:rsidR="005167BB">
        <w:rPr>
          <w:rFonts w:ascii="Times New Roman" w:eastAsia="Times New Roman" w:hAnsi="Times New Roman" w:cs="Times New Roman"/>
          <w:bCs/>
          <w:sz w:val="24"/>
          <w:szCs w:val="24"/>
        </w:rPr>
        <w:t xml:space="preserve"> ir mazāks par valstī noteikto minimālo apmēru, liecina par to, ka </w:t>
      </w:r>
      <w:r w:rsidR="00A70472">
        <w:rPr>
          <w:rFonts w:ascii="Times New Roman" w:eastAsia="Times New Roman" w:hAnsi="Times New Roman" w:cs="Times New Roman"/>
          <w:bCs/>
          <w:sz w:val="24"/>
          <w:szCs w:val="24"/>
        </w:rPr>
        <w:t xml:space="preserve">augļkopības un dārzeņkopības nozarē </w:t>
      </w:r>
      <w:r w:rsidR="005167BB">
        <w:rPr>
          <w:rFonts w:ascii="Times New Roman" w:eastAsia="Times New Roman" w:hAnsi="Times New Roman" w:cs="Times New Roman"/>
          <w:bCs/>
          <w:sz w:val="24"/>
          <w:szCs w:val="24"/>
        </w:rPr>
        <w:t>ēnu ekonomika mazinās.</w:t>
      </w:r>
    </w:p>
    <w:p w14:paraId="1AF47B2C" w14:textId="77777777" w:rsidR="0087716F" w:rsidRDefault="0087716F" w:rsidP="00D65087">
      <w:pPr>
        <w:pStyle w:val="ListParagraph"/>
        <w:spacing w:after="120" w:line="240" w:lineRule="auto"/>
        <w:ind w:left="0" w:firstLine="709"/>
        <w:contextualSpacing w:val="0"/>
        <w:jc w:val="both"/>
        <w:rPr>
          <w:rFonts w:ascii="Times New Roman" w:eastAsia="Times New Roman" w:hAnsi="Times New Roman" w:cs="Times New Roman"/>
          <w:bCs/>
          <w:sz w:val="24"/>
          <w:szCs w:val="24"/>
        </w:rPr>
      </w:pPr>
    </w:p>
    <w:p w14:paraId="0907CD2C" w14:textId="77777777" w:rsidR="005836F0" w:rsidRDefault="00193D74" w:rsidP="00E96EBA">
      <w:pPr>
        <w:tabs>
          <w:tab w:val="left" w:pos="1134"/>
        </w:tabs>
        <w:spacing w:after="120" w:line="240" w:lineRule="auto"/>
        <w:ind w:firstLine="709"/>
        <w:jc w:val="both"/>
        <w:rPr>
          <w:rFonts w:ascii="Times New Roman" w:eastAsia="Times New Roman" w:hAnsi="Times New Roman" w:cs="Times New Roman"/>
          <w:sz w:val="24"/>
          <w:szCs w:val="24"/>
          <w:u w:val="single"/>
        </w:rPr>
      </w:pPr>
      <w:r w:rsidRPr="003D2E88">
        <w:rPr>
          <w:rFonts w:ascii="Times New Roman" w:eastAsia="Times New Roman" w:hAnsi="Times New Roman" w:cs="Times New Roman"/>
          <w:sz w:val="24"/>
          <w:szCs w:val="24"/>
          <w:u w:val="single"/>
        </w:rPr>
        <w:lastRenderedPageBreak/>
        <w:t xml:space="preserve">Darba </w:t>
      </w:r>
      <w:r>
        <w:rPr>
          <w:rFonts w:ascii="Times New Roman" w:eastAsia="Times New Roman" w:hAnsi="Times New Roman" w:cs="Times New Roman"/>
          <w:sz w:val="24"/>
          <w:szCs w:val="24"/>
          <w:u w:val="single"/>
        </w:rPr>
        <w:t>devēju</w:t>
      </w:r>
      <w:r w:rsidRPr="003D2E88">
        <w:rPr>
          <w:rFonts w:ascii="Times New Roman" w:eastAsia="Times New Roman" w:hAnsi="Times New Roman" w:cs="Times New Roman"/>
          <w:sz w:val="24"/>
          <w:szCs w:val="24"/>
          <w:u w:val="single"/>
        </w:rPr>
        <w:t xml:space="preserve"> sadalījums pēc vidēj</w:t>
      </w:r>
      <w:r>
        <w:rPr>
          <w:rFonts w:ascii="Times New Roman" w:eastAsia="Times New Roman" w:hAnsi="Times New Roman" w:cs="Times New Roman"/>
          <w:sz w:val="24"/>
          <w:szCs w:val="24"/>
          <w:u w:val="single"/>
        </w:rPr>
        <w:t>iem aprēķinātajiem mēneša darba bruto ienākumiem</w:t>
      </w:r>
    </w:p>
    <w:p w14:paraId="4607FC85" w14:textId="2AC3AE0D" w:rsidR="001663D4" w:rsidRDefault="00422B97" w:rsidP="00F1197A">
      <w:pPr>
        <w:tabs>
          <w:tab w:val="left" w:pos="1134"/>
        </w:tabs>
        <w:spacing w:before="120" w:after="120" w:line="240" w:lineRule="auto"/>
        <w:ind w:hanging="426"/>
        <w:jc w:val="both"/>
        <w:rPr>
          <w:rFonts w:ascii="Times New Roman" w:hAnsi="Times New Roman" w:cs="Times New Roman"/>
          <w:sz w:val="24"/>
          <w:szCs w:val="24"/>
          <w:highlight w:val="yellow"/>
        </w:rPr>
      </w:pPr>
      <w:r>
        <w:rPr>
          <w:noProof/>
          <w:lang w:eastAsia="lv-LV"/>
        </w:rPr>
        <w:drawing>
          <wp:inline distT="0" distB="0" distL="0" distR="0" wp14:anchorId="2FF8F24E" wp14:editId="7CE53E8C">
            <wp:extent cx="6543675" cy="4286250"/>
            <wp:effectExtent l="0" t="0" r="9525" b="0"/>
            <wp:docPr id="9" name="Chart 9">
              <a:extLst xmlns:a="http://schemas.openxmlformats.org/drawingml/2006/main">
                <a:ext uri="{FF2B5EF4-FFF2-40B4-BE49-F238E27FC236}">
                  <a16:creationId xmlns:a16="http://schemas.microsoft.com/office/drawing/2014/main" id="{B611FF99-5945-A552-08ED-EF38DDC97B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4E2912" w14:textId="47AD61D9" w:rsidR="005836F0" w:rsidRDefault="00B1011D" w:rsidP="00365DAE">
      <w:pPr>
        <w:tabs>
          <w:tab w:val="left" w:pos="1134"/>
        </w:tabs>
        <w:spacing w:before="120" w:after="0" w:line="240" w:lineRule="auto"/>
        <w:ind w:firstLine="709"/>
        <w:jc w:val="both"/>
        <w:rPr>
          <w:rFonts w:ascii="Times New Roman" w:eastAsia="Times New Roman" w:hAnsi="Times New Roman" w:cs="Times New Roman"/>
          <w:sz w:val="24"/>
          <w:szCs w:val="24"/>
          <w:u w:val="single"/>
        </w:rPr>
      </w:pPr>
      <w:r w:rsidRPr="00981BD9">
        <w:rPr>
          <w:rFonts w:ascii="Times New Roman" w:hAnsi="Times New Roman" w:cs="Times New Roman"/>
          <w:sz w:val="24"/>
          <w:szCs w:val="24"/>
        </w:rPr>
        <w:t>8</w:t>
      </w:r>
      <w:r w:rsidR="005836F0" w:rsidRPr="00981BD9">
        <w:rPr>
          <w:rFonts w:ascii="Times New Roman" w:hAnsi="Times New Roman" w:cs="Times New Roman"/>
          <w:sz w:val="24"/>
          <w:szCs w:val="24"/>
        </w:rPr>
        <w:t>.</w:t>
      </w:r>
      <w:r w:rsidR="00EF5E2C">
        <w:rPr>
          <w:rFonts w:ascii="Times New Roman" w:hAnsi="Times New Roman" w:cs="Times New Roman"/>
          <w:sz w:val="24"/>
          <w:szCs w:val="24"/>
        </w:rPr>
        <w:t> </w:t>
      </w:r>
      <w:r w:rsidR="005836F0" w:rsidRPr="00981BD9">
        <w:rPr>
          <w:rFonts w:ascii="Times New Roman" w:hAnsi="Times New Roman" w:cs="Times New Roman"/>
          <w:sz w:val="24"/>
          <w:szCs w:val="24"/>
        </w:rPr>
        <w:t xml:space="preserve">attēls. </w:t>
      </w:r>
      <w:r w:rsidR="005836F0" w:rsidRPr="00981BD9">
        <w:rPr>
          <w:rFonts w:ascii="Times New Roman" w:eastAsia="Times New Roman" w:hAnsi="Times New Roman" w:cs="Times New Roman"/>
          <w:sz w:val="24"/>
          <w:szCs w:val="24"/>
        </w:rPr>
        <w:t>Darba</w:t>
      </w:r>
      <w:r w:rsidR="005836F0" w:rsidRPr="00061DEA">
        <w:rPr>
          <w:rFonts w:ascii="Times New Roman" w:eastAsia="Times New Roman" w:hAnsi="Times New Roman" w:cs="Times New Roman"/>
          <w:sz w:val="24"/>
          <w:szCs w:val="24"/>
        </w:rPr>
        <w:t xml:space="preserve"> </w:t>
      </w:r>
      <w:r w:rsidR="005836F0">
        <w:rPr>
          <w:rFonts w:ascii="Times New Roman" w:eastAsia="Times New Roman" w:hAnsi="Times New Roman" w:cs="Times New Roman"/>
          <w:sz w:val="24"/>
          <w:szCs w:val="24"/>
        </w:rPr>
        <w:t xml:space="preserve">devēju </w:t>
      </w:r>
      <w:r w:rsidR="005836F0" w:rsidRPr="00061DEA">
        <w:rPr>
          <w:rFonts w:ascii="Times New Roman" w:eastAsia="Times New Roman" w:hAnsi="Times New Roman" w:cs="Times New Roman"/>
          <w:sz w:val="24"/>
          <w:szCs w:val="24"/>
        </w:rPr>
        <w:t xml:space="preserve">sadalījums pēc </w:t>
      </w:r>
      <w:r w:rsidR="005836F0">
        <w:rPr>
          <w:rFonts w:ascii="Times New Roman" w:eastAsia="Times New Roman" w:hAnsi="Times New Roman" w:cs="Times New Roman"/>
          <w:sz w:val="24"/>
          <w:szCs w:val="24"/>
        </w:rPr>
        <w:t xml:space="preserve">vidējiem aprēķinātajiem darba bruto ienākumiem </w:t>
      </w:r>
      <w:r w:rsidR="005836F0" w:rsidRPr="00061DEA">
        <w:rPr>
          <w:rFonts w:ascii="Times New Roman" w:eastAsia="Times New Roman" w:hAnsi="Times New Roman" w:cs="Times New Roman"/>
          <w:sz w:val="24"/>
          <w:szCs w:val="24"/>
        </w:rPr>
        <w:t>vidēji valstī, vidēji lauksaimniecības nozarē un vidēji augļkopības un dārzeņkopības nozarē no 2018. līdz 2022.</w:t>
      </w:r>
      <w:r w:rsidR="00EF5E2C">
        <w:rPr>
          <w:rFonts w:ascii="Times New Roman" w:eastAsia="Times New Roman" w:hAnsi="Times New Roman" w:cs="Times New Roman"/>
          <w:sz w:val="24"/>
          <w:szCs w:val="24"/>
        </w:rPr>
        <w:t xml:space="preserve"> </w:t>
      </w:r>
      <w:r w:rsidR="005836F0" w:rsidRPr="00061DEA">
        <w:rPr>
          <w:rFonts w:ascii="Times New Roman" w:eastAsia="Times New Roman" w:hAnsi="Times New Roman" w:cs="Times New Roman"/>
          <w:sz w:val="24"/>
          <w:szCs w:val="24"/>
        </w:rPr>
        <w:t>gadam, procentos</w:t>
      </w:r>
    </w:p>
    <w:p w14:paraId="068A5C7A" w14:textId="77777777" w:rsidR="005836F0" w:rsidRPr="00734F1A" w:rsidRDefault="005836F0" w:rsidP="005836F0">
      <w:pPr>
        <w:tabs>
          <w:tab w:val="left" w:pos="1134"/>
        </w:tabs>
        <w:spacing w:after="120" w:line="240" w:lineRule="auto"/>
        <w:ind w:firstLine="709"/>
        <w:jc w:val="both"/>
        <w:rPr>
          <w:rFonts w:ascii="Times New Roman" w:eastAsia="Times New Roman" w:hAnsi="Times New Roman" w:cs="Times New Roman"/>
          <w:sz w:val="20"/>
          <w:szCs w:val="20"/>
        </w:rPr>
      </w:pPr>
      <w:r w:rsidRPr="00734F1A">
        <w:rPr>
          <w:rFonts w:ascii="Times New Roman" w:eastAsia="Times New Roman" w:hAnsi="Times New Roman" w:cs="Times New Roman"/>
          <w:i/>
          <w:sz w:val="20"/>
          <w:szCs w:val="20"/>
        </w:rPr>
        <w:t xml:space="preserve">Datu avots: </w:t>
      </w:r>
      <w:r w:rsidRPr="00734F1A">
        <w:rPr>
          <w:rFonts w:ascii="Times New Roman" w:eastAsia="Times New Roman" w:hAnsi="Times New Roman" w:cs="Times New Roman"/>
          <w:sz w:val="20"/>
          <w:szCs w:val="20"/>
        </w:rPr>
        <w:t>Zemkopības ministrija pēc VID datiem</w:t>
      </w:r>
    </w:p>
    <w:p w14:paraId="7C50224D" w14:textId="465B7462" w:rsidR="00510180" w:rsidRPr="00051E8E" w:rsidRDefault="00B53E96" w:rsidP="00D65087">
      <w:pPr>
        <w:tabs>
          <w:tab w:val="left" w:pos="1134"/>
        </w:tabs>
        <w:spacing w:after="0" w:line="240" w:lineRule="auto"/>
        <w:ind w:firstLine="709"/>
        <w:jc w:val="both"/>
        <w:rPr>
          <w:rFonts w:ascii="Times New Roman" w:eastAsia="Times New Roman" w:hAnsi="Times New Roman" w:cs="Times New Roman"/>
          <w:sz w:val="24"/>
          <w:szCs w:val="24"/>
        </w:rPr>
      </w:pPr>
      <w:r w:rsidRPr="00051E8E">
        <w:rPr>
          <w:rFonts w:ascii="Times New Roman" w:eastAsia="Times New Roman" w:hAnsi="Times New Roman" w:cs="Times New Roman"/>
          <w:sz w:val="24"/>
          <w:szCs w:val="24"/>
        </w:rPr>
        <w:t xml:space="preserve">Vislielākais darba devēju īpatsvars ir grupā, kuri </w:t>
      </w:r>
      <w:r w:rsidR="00E3707F" w:rsidRPr="00051E8E">
        <w:rPr>
          <w:rFonts w:ascii="Times New Roman" w:eastAsia="Times New Roman" w:hAnsi="Times New Roman" w:cs="Times New Roman"/>
          <w:sz w:val="24"/>
          <w:szCs w:val="24"/>
        </w:rPr>
        <w:t xml:space="preserve">aprēķina </w:t>
      </w:r>
      <w:r w:rsidR="00A70472" w:rsidRPr="00051E8E">
        <w:rPr>
          <w:rFonts w:ascii="Times New Roman" w:eastAsia="Times New Roman" w:hAnsi="Times New Roman" w:cs="Times New Roman"/>
          <w:sz w:val="24"/>
          <w:szCs w:val="24"/>
        </w:rPr>
        <w:t xml:space="preserve">mazākus </w:t>
      </w:r>
      <w:r w:rsidR="00E3707F" w:rsidRPr="00051E8E">
        <w:rPr>
          <w:rFonts w:ascii="Times New Roman" w:eastAsia="Times New Roman" w:hAnsi="Times New Roman" w:cs="Times New Roman"/>
          <w:sz w:val="24"/>
          <w:szCs w:val="24"/>
        </w:rPr>
        <w:t xml:space="preserve">darba bruto ienākumus </w:t>
      </w:r>
      <w:r w:rsidR="00A70472">
        <w:rPr>
          <w:rFonts w:ascii="Times New Roman" w:eastAsia="Times New Roman" w:hAnsi="Times New Roman" w:cs="Times New Roman"/>
          <w:sz w:val="24"/>
          <w:szCs w:val="24"/>
        </w:rPr>
        <w:t>nekā</w:t>
      </w:r>
      <w:r w:rsidR="00E3707F" w:rsidRPr="00051E8E">
        <w:rPr>
          <w:rFonts w:ascii="Times New Roman" w:eastAsia="Times New Roman" w:hAnsi="Times New Roman" w:cs="Times New Roman"/>
          <w:sz w:val="24"/>
          <w:szCs w:val="24"/>
        </w:rPr>
        <w:t xml:space="preserve"> valstī noteikt</w:t>
      </w:r>
      <w:r w:rsidR="00A70472">
        <w:rPr>
          <w:rFonts w:ascii="Times New Roman" w:eastAsia="Times New Roman" w:hAnsi="Times New Roman" w:cs="Times New Roman"/>
          <w:sz w:val="24"/>
          <w:szCs w:val="24"/>
        </w:rPr>
        <w:t>ā</w:t>
      </w:r>
      <w:r w:rsidR="00E3707F" w:rsidRPr="00051E8E">
        <w:rPr>
          <w:rFonts w:ascii="Times New Roman" w:eastAsia="Times New Roman" w:hAnsi="Times New Roman" w:cs="Times New Roman"/>
          <w:sz w:val="24"/>
          <w:szCs w:val="24"/>
        </w:rPr>
        <w:t xml:space="preserve"> minimāl</w:t>
      </w:r>
      <w:r w:rsidR="00A70472">
        <w:rPr>
          <w:rFonts w:ascii="Times New Roman" w:eastAsia="Times New Roman" w:hAnsi="Times New Roman" w:cs="Times New Roman"/>
          <w:sz w:val="24"/>
          <w:szCs w:val="24"/>
        </w:rPr>
        <w:t>ā</w:t>
      </w:r>
      <w:r w:rsidR="00E3707F" w:rsidRPr="00051E8E">
        <w:rPr>
          <w:rFonts w:ascii="Times New Roman" w:eastAsia="Times New Roman" w:hAnsi="Times New Roman" w:cs="Times New Roman"/>
          <w:sz w:val="24"/>
          <w:szCs w:val="24"/>
        </w:rPr>
        <w:t xml:space="preserve"> darba alg</w:t>
      </w:r>
      <w:r w:rsidR="00A70472">
        <w:rPr>
          <w:rFonts w:ascii="Times New Roman" w:eastAsia="Times New Roman" w:hAnsi="Times New Roman" w:cs="Times New Roman"/>
          <w:sz w:val="24"/>
          <w:szCs w:val="24"/>
        </w:rPr>
        <w:t>a:</w:t>
      </w:r>
      <w:r w:rsidR="00E3707F" w:rsidRPr="00051E8E">
        <w:rPr>
          <w:rFonts w:ascii="Times New Roman" w:eastAsia="Times New Roman" w:hAnsi="Times New Roman" w:cs="Times New Roman"/>
          <w:sz w:val="24"/>
          <w:szCs w:val="24"/>
        </w:rPr>
        <w:t xml:space="preserve"> </w:t>
      </w:r>
      <w:r w:rsidR="00D87912" w:rsidRPr="00051E8E">
        <w:rPr>
          <w:rFonts w:ascii="Times New Roman" w:eastAsia="Times New Roman" w:hAnsi="Times New Roman" w:cs="Times New Roman"/>
          <w:sz w:val="24"/>
          <w:szCs w:val="24"/>
        </w:rPr>
        <w:t>2022.</w:t>
      </w:r>
      <w:r w:rsidR="00EF5E2C">
        <w:rPr>
          <w:rFonts w:ascii="Times New Roman" w:eastAsia="Times New Roman" w:hAnsi="Times New Roman" w:cs="Times New Roman"/>
          <w:sz w:val="24"/>
          <w:szCs w:val="24"/>
        </w:rPr>
        <w:t xml:space="preserve"> </w:t>
      </w:r>
      <w:r w:rsidR="00D87912" w:rsidRPr="00051E8E">
        <w:rPr>
          <w:rFonts w:ascii="Times New Roman" w:eastAsia="Times New Roman" w:hAnsi="Times New Roman" w:cs="Times New Roman"/>
          <w:sz w:val="24"/>
          <w:szCs w:val="24"/>
        </w:rPr>
        <w:t xml:space="preserve">gadā </w:t>
      </w:r>
      <w:r w:rsidR="00E3707F" w:rsidRPr="00051E8E">
        <w:rPr>
          <w:rFonts w:ascii="Times New Roman" w:eastAsia="Times New Roman" w:hAnsi="Times New Roman" w:cs="Times New Roman"/>
          <w:sz w:val="24"/>
          <w:szCs w:val="24"/>
        </w:rPr>
        <w:t xml:space="preserve">vidēji valstī tie </w:t>
      </w:r>
      <w:r w:rsidR="00D87912" w:rsidRPr="00051E8E">
        <w:rPr>
          <w:rFonts w:ascii="Times New Roman" w:eastAsia="Times New Roman" w:hAnsi="Times New Roman" w:cs="Times New Roman"/>
          <w:sz w:val="24"/>
          <w:szCs w:val="24"/>
        </w:rPr>
        <w:t xml:space="preserve">bija </w:t>
      </w:r>
      <w:r w:rsidR="00880995" w:rsidRPr="00051E8E">
        <w:rPr>
          <w:rFonts w:ascii="Times New Roman" w:eastAsia="Times New Roman" w:hAnsi="Times New Roman" w:cs="Times New Roman"/>
          <w:sz w:val="24"/>
          <w:szCs w:val="24"/>
        </w:rPr>
        <w:t>44</w:t>
      </w:r>
      <w:r w:rsidR="00EF5E2C">
        <w:rPr>
          <w:rFonts w:ascii="Times New Roman" w:eastAsia="Times New Roman" w:hAnsi="Times New Roman" w:cs="Times New Roman"/>
          <w:sz w:val="24"/>
          <w:szCs w:val="24"/>
        </w:rPr>
        <w:t> </w:t>
      </w:r>
      <w:r w:rsidR="00880995" w:rsidRPr="00051E8E">
        <w:rPr>
          <w:rFonts w:ascii="Times New Roman" w:eastAsia="Times New Roman" w:hAnsi="Times New Roman" w:cs="Times New Roman"/>
          <w:sz w:val="24"/>
          <w:szCs w:val="24"/>
        </w:rPr>
        <w:t>%, lauksaimniecības nozarē 39</w:t>
      </w:r>
      <w:r w:rsidR="00EF5E2C">
        <w:rPr>
          <w:rFonts w:ascii="Times New Roman" w:eastAsia="Times New Roman" w:hAnsi="Times New Roman" w:cs="Times New Roman"/>
          <w:sz w:val="24"/>
          <w:szCs w:val="24"/>
        </w:rPr>
        <w:t xml:space="preserve"> </w:t>
      </w:r>
      <w:r w:rsidR="00880995" w:rsidRPr="00051E8E">
        <w:rPr>
          <w:rFonts w:ascii="Times New Roman" w:eastAsia="Times New Roman" w:hAnsi="Times New Roman" w:cs="Times New Roman"/>
          <w:sz w:val="24"/>
          <w:szCs w:val="24"/>
        </w:rPr>
        <w:t>%</w:t>
      </w:r>
      <w:r w:rsidR="00A70472">
        <w:rPr>
          <w:rFonts w:ascii="Times New Roman" w:eastAsia="Times New Roman" w:hAnsi="Times New Roman" w:cs="Times New Roman"/>
          <w:sz w:val="24"/>
          <w:szCs w:val="24"/>
        </w:rPr>
        <w:t xml:space="preserve"> un</w:t>
      </w:r>
      <w:r w:rsidR="00880995" w:rsidRPr="00051E8E">
        <w:rPr>
          <w:rFonts w:ascii="Times New Roman" w:eastAsia="Times New Roman" w:hAnsi="Times New Roman" w:cs="Times New Roman"/>
          <w:sz w:val="24"/>
          <w:szCs w:val="24"/>
        </w:rPr>
        <w:t xml:space="preserve"> augļkopības un dārzeņkopības nozarē </w:t>
      </w:r>
      <w:r w:rsidR="00051E8E" w:rsidRPr="00051E8E">
        <w:rPr>
          <w:rFonts w:ascii="Times New Roman" w:eastAsia="Times New Roman" w:hAnsi="Times New Roman" w:cs="Times New Roman"/>
          <w:sz w:val="24"/>
          <w:szCs w:val="24"/>
        </w:rPr>
        <w:t>43</w:t>
      </w:r>
      <w:r w:rsidR="00EF5E2C">
        <w:rPr>
          <w:rFonts w:ascii="Times New Roman" w:eastAsia="Times New Roman" w:hAnsi="Times New Roman" w:cs="Times New Roman"/>
          <w:sz w:val="24"/>
          <w:szCs w:val="24"/>
        </w:rPr>
        <w:t xml:space="preserve"> </w:t>
      </w:r>
      <w:r w:rsidR="00051E8E" w:rsidRPr="00051E8E">
        <w:rPr>
          <w:rFonts w:ascii="Times New Roman" w:eastAsia="Times New Roman" w:hAnsi="Times New Roman" w:cs="Times New Roman"/>
          <w:sz w:val="24"/>
          <w:szCs w:val="24"/>
        </w:rPr>
        <w:t xml:space="preserve">% no </w:t>
      </w:r>
      <w:r w:rsidR="00067E96">
        <w:rPr>
          <w:rFonts w:ascii="Times New Roman" w:eastAsia="Times New Roman" w:hAnsi="Times New Roman" w:cs="Times New Roman"/>
          <w:sz w:val="24"/>
          <w:szCs w:val="24"/>
        </w:rPr>
        <w:t xml:space="preserve">visiem </w:t>
      </w:r>
      <w:r w:rsidR="00051E8E" w:rsidRPr="00051E8E">
        <w:rPr>
          <w:rFonts w:ascii="Times New Roman" w:eastAsia="Times New Roman" w:hAnsi="Times New Roman" w:cs="Times New Roman"/>
          <w:sz w:val="24"/>
          <w:szCs w:val="24"/>
        </w:rPr>
        <w:t>darba devējiem attiecīgajā nozarē.</w:t>
      </w:r>
    </w:p>
    <w:p w14:paraId="4C1C57B3" w14:textId="3269DD01" w:rsidR="00051E8E" w:rsidRDefault="00051E8E" w:rsidP="00D65087">
      <w:pPr>
        <w:tabs>
          <w:tab w:val="left" w:pos="1134"/>
        </w:tabs>
        <w:spacing w:after="0" w:line="240" w:lineRule="auto"/>
        <w:ind w:firstLine="709"/>
        <w:jc w:val="both"/>
        <w:rPr>
          <w:rFonts w:ascii="Times New Roman" w:eastAsia="Times New Roman" w:hAnsi="Times New Roman" w:cs="Times New Roman"/>
          <w:sz w:val="24"/>
          <w:szCs w:val="24"/>
        </w:rPr>
      </w:pPr>
      <w:r w:rsidRPr="00051E8E">
        <w:rPr>
          <w:rFonts w:ascii="Times New Roman" w:eastAsia="Times New Roman" w:hAnsi="Times New Roman" w:cs="Times New Roman"/>
          <w:sz w:val="24"/>
          <w:szCs w:val="24"/>
        </w:rPr>
        <w:t xml:space="preserve">Tomēr </w:t>
      </w:r>
      <w:r w:rsidR="00A70472">
        <w:rPr>
          <w:rFonts w:ascii="Times New Roman" w:eastAsia="Times New Roman" w:hAnsi="Times New Roman" w:cs="Times New Roman"/>
          <w:sz w:val="24"/>
          <w:szCs w:val="24"/>
        </w:rPr>
        <w:t xml:space="preserve">to </w:t>
      </w:r>
      <w:r w:rsidR="003D5C1D">
        <w:rPr>
          <w:rFonts w:ascii="Times New Roman" w:eastAsia="Times New Roman" w:hAnsi="Times New Roman" w:cs="Times New Roman"/>
          <w:sz w:val="24"/>
          <w:szCs w:val="24"/>
        </w:rPr>
        <w:t>darba devēju</w:t>
      </w:r>
      <w:r w:rsidR="00B37180">
        <w:rPr>
          <w:rFonts w:ascii="Times New Roman" w:eastAsia="Times New Roman" w:hAnsi="Times New Roman" w:cs="Times New Roman"/>
          <w:sz w:val="24"/>
          <w:szCs w:val="24"/>
        </w:rPr>
        <w:t xml:space="preserve"> īpatsvars</w:t>
      </w:r>
      <w:r w:rsidR="003D5C1D">
        <w:rPr>
          <w:rFonts w:ascii="Times New Roman" w:eastAsia="Times New Roman" w:hAnsi="Times New Roman" w:cs="Times New Roman"/>
          <w:sz w:val="24"/>
          <w:szCs w:val="24"/>
        </w:rPr>
        <w:t xml:space="preserve">, kuri aprēķina </w:t>
      </w:r>
      <w:r w:rsidR="00A70472" w:rsidRPr="00051E8E">
        <w:rPr>
          <w:rFonts w:ascii="Times New Roman" w:eastAsia="Times New Roman" w:hAnsi="Times New Roman" w:cs="Times New Roman"/>
          <w:sz w:val="24"/>
          <w:szCs w:val="24"/>
        </w:rPr>
        <w:t xml:space="preserve">mazākus darba bruto ienākumus </w:t>
      </w:r>
      <w:r w:rsidR="00A70472">
        <w:rPr>
          <w:rFonts w:ascii="Times New Roman" w:eastAsia="Times New Roman" w:hAnsi="Times New Roman" w:cs="Times New Roman"/>
          <w:sz w:val="24"/>
          <w:szCs w:val="24"/>
        </w:rPr>
        <w:t>nekā</w:t>
      </w:r>
      <w:r w:rsidR="00A70472" w:rsidRPr="00051E8E">
        <w:rPr>
          <w:rFonts w:ascii="Times New Roman" w:eastAsia="Times New Roman" w:hAnsi="Times New Roman" w:cs="Times New Roman"/>
          <w:sz w:val="24"/>
          <w:szCs w:val="24"/>
        </w:rPr>
        <w:t xml:space="preserve"> valstī noteikt</w:t>
      </w:r>
      <w:r w:rsidR="00A70472">
        <w:rPr>
          <w:rFonts w:ascii="Times New Roman" w:eastAsia="Times New Roman" w:hAnsi="Times New Roman" w:cs="Times New Roman"/>
          <w:sz w:val="24"/>
          <w:szCs w:val="24"/>
        </w:rPr>
        <w:t>ā</w:t>
      </w:r>
      <w:r w:rsidR="00A70472" w:rsidRPr="00051E8E">
        <w:rPr>
          <w:rFonts w:ascii="Times New Roman" w:eastAsia="Times New Roman" w:hAnsi="Times New Roman" w:cs="Times New Roman"/>
          <w:sz w:val="24"/>
          <w:szCs w:val="24"/>
        </w:rPr>
        <w:t xml:space="preserve"> minimāl</w:t>
      </w:r>
      <w:r w:rsidR="00A70472">
        <w:rPr>
          <w:rFonts w:ascii="Times New Roman" w:eastAsia="Times New Roman" w:hAnsi="Times New Roman" w:cs="Times New Roman"/>
          <w:sz w:val="24"/>
          <w:szCs w:val="24"/>
        </w:rPr>
        <w:t>ā</w:t>
      </w:r>
      <w:r w:rsidR="00A70472" w:rsidRPr="00051E8E">
        <w:rPr>
          <w:rFonts w:ascii="Times New Roman" w:eastAsia="Times New Roman" w:hAnsi="Times New Roman" w:cs="Times New Roman"/>
          <w:sz w:val="24"/>
          <w:szCs w:val="24"/>
        </w:rPr>
        <w:t xml:space="preserve"> darba alg</w:t>
      </w:r>
      <w:r w:rsidR="00A70472">
        <w:rPr>
          <w:rFonts w:ascii="Times New Roman" w:eastAsia="Times New Roman" w:hAnsi="Times New Roman" w:cs="Times New Roman"/>
          <w:sz w:val="24"/>
          <w:szCs w:val="24"/>
        </w:rPr>
        <w:t>a</w:t>
      </w:r>
      <w:r w:rsidR="003D5C1D">
        <w:rPr>
          <w:rFonts w:ascii="Times New Roman" w:eastAsia="Times New Roman" w:hAnsi="Times New Roman" w:cs="Times New Roman"/>
          <w:sz w:val="24"/>
          <w:szCs w:val="24"/>
        </w:rPr>
        <w:t xml:space="preserve">, </w:t>
      </w:r>
      <w:r w:rsidR="00A70472">
        <w:rPr>
          <w:rFonts w:ascii="Times New Roman" w:eastAsia="Times New Roman" w:hAnsi="Times New Roman" w:cs="Times New Roman"/>
          <w:sz w:val="24"/>
          <w:szCs w:val="24"/>
        </w:rPr>
        <w:t>katru gadu samazinās:</w:t>
      </w:r>
      <w:r w:rsidR="003D5C1D">
        <w:rPr>
          <w:rFonts w:ascii="Times New Roman" w:eastAsia="Times New Roman" w:hAnsi="Times New Roman" w:cs="Times New Roman"/>
          <w:sz w:val="24"/>
          <w:szCs w:val="24"/>
        </w:rPr>
        <w:t xml:space="preserve"> laikā no 2018. līdz 2022.</w:t>
      </w:r>
      <w:r w:rsidR="00EF5E2C">
        <w:rPr>
          <w:rFonts w:ascii="Times New Roman" w:eastAsia="Times New Roman" w:hAnsi="Times New Roman" w:cs="Times New Roman"/>
          <w:sz w:val="24"/>
          <w:szCs w:val="24"/>
        </w:rPr>
        <w:t> </w:t>
      </w:r>
      <w:r w:rsidR="003D5C1D">
        <w:rPr>
          <w:rFonts w:ascii="Times New Roman" w:eastAsia="Times New Roman" w:hAnsi="Times New Roman" w:cs="Times New Roman"/>
          <w:sz w:val="24"/>
          <w:szCs w:val="24"/>
        </w:rPr>
        <w:t xml:space="preserve">gadam </w:t>
      </w:r>
      <w:r w:rsidR="00A70472">
        <w:rPr>
          <w:rFonts w:ascii="Times New Roman" w:eastAsia="Times New Roman" w:hAnsi="Times New Roman" w:cs="Times New Roman"/>
          <w:sz w:val="24"/>
          <w:szCs w:val="24"/>
        </w:rPr>
        <w:t>viņu</w:t>
      </w:r>
      <w:r w:rsidR="00091421">
        <w:rPr>
          <w:rFonts w:ascii="Times New Roman" w:eastAsia="Times New Roman" w:hAnsi="Times New Roman" w:cs="Times New Roman"/>
          <w:sz w:val="24"/>
          <w:szCs w:val="24"/>
        </w:rPr>
        <w:t xml:space="preserve"> īpatsvars vidēji valstī ir samazinājies par 11 procentpunktiem, bet augļkopības un dārzeņkopības nozarē </w:t>
      </w:r>
      <w:r w:rsidR="00A70472">
        <w:rPr>
          <w:rFonts w:ascii="Times New Roman" w:eastAsia="Times New Roman" w:hAnsi="Times New Roman" w:cs="Times New Roman"/>
          <w:sz w:val="24"/>
          <w:szCs w:val="24"/>
        </w:rPr>
        <w:t>pat vair</w:t>
      </w:r>
      <w:r w:rsidR="00091421">
        <w:rPr>
          <w:rFonts w:ascii="Times New Roman" w:eastAsia="Times New Roman" w:hAnsi="Times New Roman" w:cs="Times New Roman"/>
          <w:sz w:val="24"/>
          <w:szCs w:val="24"/>
        </w:rPr>
        <w:t>āk – par 15 procentpunktiem.</w:t>
      </w:r>
    </w:p>
    <w:p w14:paraId="2ACA6AE2" w14:textId="055F5751" w:rsidR="00FB394C" w:rsidRDefault="00A70472" w:rsidP="00D65087">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Katru</w:t>
      </w:r>
      <w:r w:rsidR="00FB394C">
        <w:rPr>
          <w:rFonts w:ascii="Times New Roman" w:eastAsia="Times New Roman" w:hAnsi="Times New Roman" w:cs="Times New Roman"/>
          <w:bCs/>
          <w:sz w:val="24"/>
          <w:szCs w:val="24"/>
        </w:rPr>
        <w:t xml:space="preserve"> gadu </w:t>
      </w:r>
      <w:r>
        <w:rPr>
          <w:rFonts w:ascii="Times New Roman" w:eastAsia="Times New Roman" w:hAnsi="Times New Roman" w:cs="Times New Roman"/>
          <w:bCs/>
          <w:sz w:val="24"/>
          <w:szCs w:val="24"/>
        </w:rPr>
        <w:t>palielinās</w:t>
      </w:r>
      <w:r w:rsidR="00FB394C">
        <w:rPr>
          <w:rFonts w:ascii="Times New Roman" w:eastAsia="Times New Roman" w:hAnsi="Times New Roman" w:cs="Times New Roman"/>
          <w:bCs/>
          <w:sz w:val="24"/>
          <w:szCs w:val="24"/>
        </w:rPr>
        <w:t xml:space="preserve"> t</w:t>
      </w:r>
      <w:r w:rsidR="003D2559">
        <w:rPr>
          <w:rFonts w:ascii="Times New Roman" w:eastAsia="Times New Roman" w:hAnsi="Times New Roman" w:cs="Times New Roman"/>
          <w:bCs/>
          <w:sz w:val="24"/>
          <w:szCs w:val="24"/>
        </w:rPr>
        <w:t>o</w:t>
      </w:r>
      <w:r w:rsidR="00FB394C">
        <w:rPr>
          <w:rFonts w:ascii="Times New Roman" w:eastAsia="Times New Roman" w:hAnsi="Times New Roman" w:cs="Times New Roman"/>
          <w:bCs/>
          <w:sz w:val="24"/>
          <w:szCs w:val="24"/>
        </w:rPr>
        <w:t xml:space="preserve"> darba </w:t>
      </w:r>
      <w:r w:rsidR="003602AF">
        <w:rPr>
          <w:rFonts w:ascii="Times New Roman" w:eastAsia="Times New Roman" w:hAnsi="Times New Roman" w:cs="Times New Roman"/>
          <w:bCs/>
          <w:sz w:val="24"/>
          <w:szCs w:val="24"/>
        </w:rPr>
        <w:t>devēj</w:t>
      </w:r>
      <w:r w:rsidR="003D2559">
        <w:rPr>
          <w:rFonts w:ascii="Times New Roman" w:eastAsia="Times New Roman" w:hAnsi="Times New Roman" w:cs="Times New Roman"/>
          <w:bCs/>
          <w:sz w:val="24"/>
          <w:szCs w:val="24"/>
        </w:rPr>
        <w:t>u īpatsvars</w:t>
      </w:r>
      <w:r w:rsidR="00FB394C">
        <w:rPr>
          <w:rFonts w:ascii="Times New Roman" w:eastAsia="Times New Roman" w:hAnsi="Times New Roman" w:cs="Times New Roman"/>
          <w:bCs/>
          <w:sz w:val="24"/>
          <w:szCs w:val="24"/>
        </w:rPr>
        <w:t>, kur</w:t>
      </w:r>
      <w:r w:rsidR="003602AF">
        <w:rPr>
          <w:rFonts w:ascii="Times New Roman" w:eastAsia="Times New Roman" w:hAnsi="Times New Roman" w:cs="Times New Roman"/>
          <w:bCs/>
          <w:sz w:val="24"/>
          <w:szCs w:val="24"/>
        </w:rPr>
        <w:t xml:space="preserve">i aprēķina </w:t>
      </w:r>
      <w:r>
        <w:rPr>
          <w:rFonts w:ascii="Times New Roman" w:eastAsia="Times New Roman" w:hAnsi="Times New Roman" w:cs="Times New Roman"/>
          <w:bCs/>
          <w:sz w:val="24"/>
          <w:szCs w:val="24"/>
        </w:rPr>
        <w:t xml:space="preserve">ar valstī noteikto minimālo darba algu vienādus </w:t>
      </w:r>
      <w:r w:rsidR="003602AF">
        <w:rPr>
          <w:rFonts w:ascii="Times New Roman" w:eastAsia="Times New Roman" w:hAnsi="Times New Roman" w:cs="Times New Roman"/>
          <w:bCs/>
          <w:sz w:val="24"/>
          <w:szCs w:val="24"/>
        </w:rPr>
        <w:t>darba bruto ienākumus</w:t>
      </w:r>
      <w:r>
        <w:rPr>
          <w:rFonts w:ascii="Times New Roman" w:eastAsia="Times New Roman" w:hAnsi="Times New Roman" w:cs="Times New Roman"/>
          <w:bCs/>
          <w:sz w:val="24"/>
          <w:szCs w:val="24"/>
        </w:rPr>
        <w:t>:</w:t>
      </w:r>
      <w:r w:rsidR="00FB394C">
        <w:rPr>
          <w:rFonts w:ascii="Times New Roman" w:eastAsia="Times New Roman" w:hAnsi="Times New Roman" w:cs="Times New Roman"/>
          <w:bCs/>
          <w:sz w:val="24"/>
          <w:szCs w:val="24"/>
        </w:rPr>
        <w:t xml:space="preserve"> šādu darba </w:t>
      </w:r>
      <w:r w:rsidR="00AA0C8E">
        <w:rPr>
          <w:rFonts w:ascii="Times New Roman" w:eastAsia="Times New Roman" w:hAnsi="Times New Roman" w:cs="Times New Roman"/>
          <w:bCs/>
          <w:sz w:val="24"/>
          <w:szCs w:val="24"/>
        </w:rPr>
        <w:t>devēju</w:t>
      </w:r>
      <w:r w:rsidR="00FB394C">
        <w:rPr>
          <w:rFonts w:ascii="Times New Roman" w:eastAsia="Times New Roman" w:hAnsi="Times New Roman" w:cs="Times New Roman"/>
          <w:bCs/>
          <w:sz w:val="24"/>
          <w:szCs w:val="24"/>
        </w:rPr>
        <w:t xml:space="preserve"> īpatsvars </w:t>
      </w:r>
      <w:r>
        <w:rPr>
          <w:rFonts w:ascii="Times New Roman" w:eastAsia="Times New Roman" w:hAnsi="Times New Roman" w:cs="Times New Roman"/>
          <w:bCs/>
          <w:sz w:val="24"/>
          <w:szCs w:val="24"/>
        </w:rPr>
        <w:t xml:space="preserve">valstī vidēji </w:t>
      </w:r>
      <w:r w:rsidR="00FB394C">
        <w:rPr>
          <w:rFonts w:ascii="Times New Roman" w:eastAsia="Times New Roman" w:hAnsi="Times New Roman" w:cs="Times New Roman"/>
          <w:bCs/>
          <w:sz w:val="24"/>
          <w:szCs w:val="24"/>
        </w:rPr>
        <w:t>2022</w:t>
      </w:r>
      <w:r w:rsidR="00EF5E2C">
        <w:rPr>
          <w:rFonts w:ascii="Times New Roman" w:eastAsia="Times New Roman" w:hAnsi="Times New Roman" w:cs="Times New Roman"/>
          <w:bCs/>
          <w:sz w:val="24"/>
          <w:szCs w:val="24"/>
        </w:rPr>
        <w:t>. </w:t>
      </w:r>
      <w:r w:rsidR="00FB394C">
        <w:rPr>
          <w:rFonts w:ascii="Times New Roman" w:eastAsia="Times New Roman" w:hAnsi="Times New Roman" w:cs="Times New Roman"/>
          <w:bCs/>
          <w:sz w:val="24"/>
          <w:szCs w:val="24"/>
        </w:rPr>
        <w:t xml:space="preserve">gadā veidoja </w:t>
      </w:r>
      <w:r w:rsidR="00AA0C8E">
        <w:rPr>
          <w:rFonts w:ascii="Times New Roman" w:eastAsia="Times New Roman" w:hAnsi="Times New Roman" w:cs="Times New Roman"/>
          <w:bCs/>
          <w:sz w:val="24"/>
          <w:szCs w:val="24"/>
        </w:rPr>
        <w:t>11,7</w:t>
      </w:r>
      <w:r w:rsidR="00977424">
        <w:rPr>
          <w:rFonts w:ascii="Times New Roman" w:eastAsia="Times New Roman" w:hAnsi="Times New Roman" w:cs="Times New Roman"/>
          <w:bCs/>
          <w:sz w:val="24"/>
          <w:szCs w:val="24"/>
        </w:rPr>
        <w:t> </w:t>
      </w:r>
      <w:r w:rsidR="00FB394C">
        <w:rPr>
          <w:rFonts w:ascii="Times New Roman" w:eastAsia="Times New Roman" w:hAnsi="Times New Roman" w:cs="Times New Roman"/>
          <w:bCs/>
          <w:sz w:val="24"/>
          <w:szCs w:val="24"/>
        </w:rPr>
        <w:t>%</w:t>
      </w:r>
      <w:r w:rsidR="0085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par četriem procentpunktiem vairāk nekā </w:t>
      </w:r>
      <w:r w:rsidR="00850CBD">
        <w:rPr>
          <w:rFonts w:ascii="Times New Roman" w:eastAsia="Times New Roman" w:hAnsi="Times New Roman" w:cs="Times New Roman"/>
          <w:bCs/>
          <w:sz w:val="24"/>
          <w:szCs w:val="24"/>
        </w:rPr>
        <w:t>2018.</w:t>
      </w:r>
      <w:r w:rsidR="00EF5E2C">
        <w:rPr>
          <w:rFonts w:ascii="Times New Roman" w:eastAsia="Times New Roman" w:hAnsi="Times New Roman" w:cs="Times New Roman"/>
          <w:bCs/>
          <w:sz w:val="24"/>
          <w:szCs w:val="24"/>
        </w:rPr>
        <w:t xml:space="preserve"> </w:t>
      </w:r>
      <w:r w:rsidR="00850CBD">
        <w:rPr>
          <w:rFonts w:ascii="Times New Roman" w:eastAsia="Times New Roman" w:hAnsi="Times New Roman" w:cs="Times New Roman"/>
          <w:bCs/>
          <w:sz w:val="24"/>
          <w:szCs w:val="24"/>
        </w:rPr>
        <w:t>gad</w:t>
      </w:r>
      <w:r>
        <w:rPr>
          <w:rFonts w:ascii="Times New Roman" w:eastAsia="Times New Roman" w:hAnsi="Times New Roman" w:cs="Times New Roman"/>
          <w:bCs/>
          <w:sz w:val="24"/>
          <w:szCs w:val="24"/>
        </w:rPr>
        <w:t>ā</w:t>
      </w:r>
      <w:r w:rsidR="00850CBD">
        <w:rPr>
          <w:rFonts w:ascii="Times New Roman" w:eastAsia="Times New Roman" w:hAnsi="Times New Roman" w:cs="Times New Roman"/>
          <w:bCs/>
          <w:sz w:val="24"/>
          <w:szCs w:val="24"/>
        </w:rPr>
        <w:t>)</w:t>
      </w:r>
      <w:r w:rsidR="00FB394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be</w:t>
      </w:r>
      <w:r w:rsidR="00FB394C">
        <w:rPr>
          <w:rFonts w:ascii="Times New Roman" w:eastAsia="Times New Roman" w:hAnsi="Times New Roman" w:cs="Times New Roman"/>
          <w:bCs/>
          <w:sz w:val="24"/>
          <w:szCs w:val="24"/>
        </w:rPr>
        <w:t xml:space="preserve">t augļkopības un dārzeņkopības nozarē – </w:t>
      </w:r>
      <w:r w:rsidR="00AA0C8E">
        <w:rPr>
          <w:rFonts w:ascii="Times New Roman" w:eastAsia="Times New Roman" w:hAnsi="Times New Roman" w:cs="Times New Roman"/>
          <w:bCs/>
          <w:sz w:val="24"/>
          <w:szCs w:val="24"/>
        </w:rPr>
        <w:t>15,3</w:t>
      </w:r>
      <w:r w:rsidR="00EF5E2C">
        <w:rPr>
          <w:rFonts w:ascii="Times New Roman" w:eastAsia="Times New Roman" w:hAnsi="Times New Roman" w:cs="Times New Roman"/>
          <w:bCs/>
          <w:sz w:val="24"/>
          <w:szCs w:val="24"/>
        </w:rPr>
        <w:t> </w:t>
      </w:r>
      <w:r w:rsidR="00FB394C">
        <w:rPr>
          <w:rFonts w:ascii="Times New Roman" w:eastAsia="Times New Roman" w:hAnsi="Times New Roman" w:cs="Times New Roman"/>
          <w:bCs/>
          <w:sz w:val="24"/>
          <w:szCs w:val="24"/>
        </w:rPr>
        <w:t>%</w:t>
      </w:r>
      <w:r w:rsidR="00850CB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par sešiem procentpunktiem vairāk nekā 2018. gadā</w:t>
      </w:r>
      <w:r w:rsidR="00850CBD">
        <w:rPr>
          <w:rFonts w:ascii="Times New Roman" w:eastAsia="Times New Roman" w:hAnsi="Times New Roman" w:cs="Times New Roman"/>
          <w:bCs/>
          <w:sz w:val="24"/>
          <w:szCs w:val="24"/>
        </w:rPr>
        <w:t>)</w:t>
      </w:r>
      <w:r w:rsidR="00FB394C">
        <w:rPr>
          <w:rFonts w:ascii="Times New Roman" w:eastAsia="Times New Roman" w:hAnsi="Times New Roman" w:cs="Times New Roman"/>
          <w:bCs/>
          <w:sz w:val="24"/>
          <w:szCs w:val="24"/>
        </w:rPr>
        <w:t>.</w:t>
      </w:r>
    </w:p>
    <w:p w14:paraId="6B495B90" w14:textId="28A13B78" w:rsidR="00EB3FEE" w:rsidRPr="00E57610" w:rsidRDefault="0027244B" w:rsidP="00E57610">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Joprojām ievērojams darba devēju īpatsvars ir tajā grupā, </w:t>
      </w:r>
      <w:r w:rsidRPr="00713CFA">
        <w:rPr>
          <w:rFonts w:ascii="Times New Roman" w:eastAsia="Times New Roman" w:hAnsi="Times New Roman" w:cs="Times New Roman"/>
          <w:bCs/>
          <w:sz w:val="24"/>
          <w:szCs w:val="24"/>
        </w:rPr>
        <w:t>kur</w:t>
      </w:r>
      <w:r w:rsidR="007B766A" w:rsidRPr="00713CFA">
        <w:rPr>
          <w:rFonts w:ascii="Times New Roman" w:eastAsia="Times New Roman" w:hAnsi="Times New Roman" w:cs="Times New Roman"/>
          <w:bCs/>
          <w:sz w:val="24"/>
          <w:szCs w:val="24"/>
        </w:rPr>
        <w:t xml:space="preserve">i darba bruto ienākumus </w:t>
      </w:r>
      <w:r w:rsidR="00A70472" w:rsidRPr="00713CFA">
        <w:rPr>
          <w:rFonts w:ascii="Times New Roman" w:eastAsia="Times New Roman" w:hAnsi="Times New Roman" w:cs="Times New Roman"/>
          <w:bCs/>
          <w:sz w:val="24"/>
          <w:szCs w:val="24"/>
        </w:rPr>
        <w:t xml:space="preserve">aprēķina </w:t>
      </w:r>
      <w:r w:rsidR="00A70472">
        <w:rPr>
          <w:rFonts w:ascii="Times New Roman" w:eastAsia="Times New Roman" w:hAnsi="Times New Roman" w:cs="Times New Roman"/>
          <w:bCs/>
          <w:sz w:val="24"/>
          <w:szCs w:val="24"/>
        </w:rPr>
        <w:t xml:space="preserve">robežās </w:t>
      </w:r>
      <w:r w:rsidRPr="00713CFA">
        <w:rPr>
          <w:rFonts w:ascii="Times New Roman" w:eastAsia="Times New Roman" w:hAnsi="Times New Roman" w:cs="Times New Roman"/>
          <w:bCs/>
          <w:sz w:val="24"/>
          <w:szCs w:val="24"/>
        </w:rPr>
        <w:t xml:space="preserve">no valstī noteiktās minimālās darba algas līdz 1000 </w:t>
      </w:r>
      <w:proofErr w:type="spellStart"/>
      <w:r w:rsidRPr="00713CFA">
        <w:rPr>
          <w:rFonts w:ascii="Times New Roman" w:eastAsia="Times New Roman" w:hAnsi="Times New Roman" w:cs="Times New Roman"/>
          <w:bCs/>
          <w:i/>
          <w:iCs/>
          <w:sz w:val="24"/>
          <w:szCs w:val="24"/>
        </w:rPr>
        <w:t>euro</w:t>
      </w:r>
      <w:proofErr w:type="spellEnd"/>
      <w:r w:rsidR="00FD7301">
        <w:rPr>
          <w:rFonts w:ascii="Times New Roman" w:eastAsia="Times New Roman" w:hAnsi="Times New Roman" w:cs="Times New Roman"/>
          <w:bCs/>
          <w:sz w:val="24"/>
          <w:szCs w:val="24"/>
        </w:rPr>
        <w:t>:</w:t>
      </w:r>
      <w:r w:rsidR="00713CFA" w:rsidRPr="00713CFA">
        <w:rPr>
          <w:rFonts w:ascii="Times New Roman" w:eastAsia="Times New Roman" w:hAnsi="Times New Roman" w:cs="Times New Roman"/>
          <w:bCs/>
          <w:sz w:val="24"/>
          <w:szCs w:val="24"/>
        </w:rPr>
        <w:t xml:space="preserve"> 2022.</w:t>
      </w:r>
      <w:r w:rsidR="00977424">
        <w:rPr>
          <w:rFonts w:ascii="Times New Roman" w:eastAsia="Times New Roman" w:hAnsi="Times New Roman" w:cs="Times New Roman"/>
          <w:bCs/>
          <w:sz w:val="24"/>
          <w:szCs w:val="24"/>
        </w:rPr>
        <w:t xml:space="preserve"> </w:t>
      </w:r>
      <w:r w:rsidR="00713CFA" w:rsidRPr="00713CFA">
        <w:rPr>
          <w:rFonts w:ascii="Times New Roman" w:eastAsia="Times New Roman" w:hAnsi="Times New Roman" w:cs="Times New Roman"/>
          <w:bCs/>
          <w:sz w:val="24"/>
          <w:szCs w:val="24"/>
        </w:rPr>
        <w:t>gadā</w:t>
      </w:r>
      <w:r w:rsidRPr="00713CFA">
        <w:rPr>
          <w:rFonts w:ascii="Times New Roman" w:eastAsia="Times New Roman" w:hAnsi="Times New Roman" w:cs="Times New Roman"/>
          <w:bCs/>
          <w:sz w:val="24"/>
          <w:szCs w:val="24"/>
        </w:rPr>
        <w:t xml:space="preserve"> valstī vidēji tie </w:t>
      </w:r>
      <w:r w:rsidR="00FD7301">
        <w:rPr>
          <w:rFonts w:ascii="Times New Roman" w:eastAsia="Times New Roman" w:hAnsi="Times New Roman" w:cs="Times New Roman"/>
          <w:bCs/>
          <w:sz w:val="24"/>
          <w:szCs w:val="24"/>
        </w:rPr>
        <w:t>bija</w:t>
      </w:r>
      <w:r w:rsidRPr="00713CFA">
        <w:rPr>
          <w:rFonts w:ascii="Times New Roman" w:eastAsia="Times New Roman" w:hAnsi="Times New Roman" w:cs="Times New Roman"/>
          <w:bCs/>
          <w:sz w:val="24"/>
          <w:szCs w:val="24"/>
        </w:rPr>
        <w:t xml:space="preserve"> 2</w:t>
      </w:r>
      <w:r w:rsidR="00713CFA" w:rsidRPr="00713CFA">
        <w:rPr>
          <w:rFonts w:ascii="Times New Roman" w:eastAsia="Times New Roman" w:hAnsi="Times New Roman" w:cs="Times New Roman"/>
          <w:bCs/>
          <w:sz w:val="24"/>
          <w:szCs w:val="24"/>
        </w:rPr>
        <w:t>7,8</w:t>
      </w:r>
      <w:r w:rsidR="00977424">
        <w:rPr>
          <w:rFonts w:ascii="Times New Roman" w:eastAsia="Times New Roman" w:hAnsi="Times New Roman" w:cs="Times New Roman"/>
          <w:bCs/>
          <w:sz w:val="24"/>
          <w:szCs w:val="24"/>
        </w:rPr>
        <w:t xml:space="preserve"> </w:t>
      </w:r>
      <w:r w:rsidRPr="00713CFA">
        <w:rPr>
          <w:rFonts w:ascii="Times New Roman" w:eastAsia="Times New Roman" w:hAnsi="Times New Roman" w:cs="Times New Roman"/>
          <w:bCs/>
          <w:sz w:val="24"/>
          <w:szCs w:val="24"/>
        </w:rPr>
        <w:t>% darb</w:t>
      </w:r>
      <w:r w:rsidR="00713CFA" w:rsidRPr="00713CFA">
        <w:rPr>
          <w:rFonts w:ascii="Times New Roman" w:eastAsia="Times New Roman" w:hAnsi="Times New Roman" w:cs="Times New Roman"/>
          <w:bCs/>
          <w:sz w:val="24"/>
          <w:szCs w:val="24"/>
        </w:rPr>
        <w:t>a devēji</w:t>
      </w:r>
      <w:r w:rsidRPr="00713CFA">
        <w:rPr>
          <w:rFonts w:ascii="Times New Roman" w:eastAsia="Times New Roman" w:hAnsi="Times New Roman" w:cs="Times New Roman"/>
          <w:bCs/>
          <w:sz w:val="24"/>
          <w:szCs w:val="24"/>
        </w:rPr>
        <w:t xml:space="preserve">, </w:t>
      </w:r>
      <w:r w:rsidR="00FD7301">
        <w:rPr>
          <w:rFonts w:ascii="Times New Roman" w:eastAsia="Times New Roman" w:hAnsi="Times New Roman" w:cs="Times New Roman"/>
          <w:bCs/>
          <w:sz w:val="24"/>
          <w:szCs w:val="24"/>
        </w:rPr>
        <w:t>bet</w:t>
      </w:r>
      <w:r w:rsidRPr="00713CFA">
        <w:rPr>
          <w:rFonts w:ascii="Times New Roman" w:eastAsia="Times New Roman" w:hAnsi="Times New Roman" w:cs="Times New Roman"/>
          <w:bCs/>
          <w:sz w:val="24"/>
          <w:szCs w:val="24"/>
        </w:rPr>
        <w:t xml:space="preserve"> augkopības un dārzeņkopības nozarē – 3</w:t>
      </w:r>
      <w:r w:rsidR="00713CFA" w:rsidRPr="00713CFA">
        <w:rPr>
          <w:rFonts w:ascii="Times New Roman" w:eastAsia="Times New Roman" w:hAnsi="Times New Roman" w:cs="Times New Roman"/>
          <w:bCs/>
          <w:sz w:val="24"/>
          <w:szCs w:val="24"/>
        </w:rPr>
        <w:t>5</w:t>
      </w:r>
      <w:r w:rsidRPr="00713CFA">
        <w:rPr>
          <w:rFonts w:ascii="Times New Roman" w:eastAsia="Times New Roman" w:hAnsi="Times New Roman" w:cs="Times New Roman"/>
          <w:bCs/>
          <w:sz w:val="24"/>
          <w:szCs w:val="24"/>
        </w:rPr>
        <w:t>,6</w:t>
      </w:r>
      <w:r w:rsidR="00977424">
        <w:rPr>
          <w:rFonts w:ascii="Times New Roman" w:eastAsia="Times New Roman" w:hAnsi="Times New Roman" w:cs="Times New Roman"/>
          <w:bCs/>
          <w:sz w:val="24"/>
          <w:szCs w:val="24"/>
        </w:rPr>
        <w:t xml:space="preserve"> </w:t>
      </w:r>
      <w:r w:rsidRPr="00713CFA">
        <w:rPr>
          <w:rFonts w:ascii="Times New Roman" w:eastAsia="Times New Roman" w:hAnsi="Times New Roman" w:cs="Times New Roman"/>
          <w:bCs/>
          <w:sz w:val="24"/>
          <w:szCs w:val="24"/>
        </w:rPr>
        <w:t xml:space="preserve">%. </w:t>
      </w:r>
      <w:r w:rsidR="00EB3FEE">
        <w:rPr>
          <w:rFonts w:ascii="Times New Roman" w:eastAsia="Times New Roman" w:hAnsi="Times New Roman" w:cs="Times New Roman"/>
          <w:bCs/>
          <w:sz w:val="24"/>
          <w:szCs w:val="24"/>
        </w:rPr>
        <w:t xml:space="preserve">Vidēji valstī </w:t>
      </w:r>
      <w:r w:rsidR="00FD7301">
        <w:rPr>
          <w:rFonts w:ascii="Times New Roman" w:eastAsia="Times New Roman" w:hAnsi="Times New Roman" w:cs="Times New Roman"/>
          <w:bCs/>
          <w:sz w:val="24"/>
          <w:szCs w:val="24"/>
        </w:rPr>
        <w:t xml:space="preserve">šādu </w:t>
      </w:r>
      <w:r w:rsidR="00EB3FEE">
        <w:rPr>
          <w:rFonts w:ascii="Times New Roman" w:eastAsia="Times New Roman" w:hAnsi="Times New Roman" w:cs="Times New Roman"/>
          <w:bCs/>
          <w:sz w:val="24"/>
          <w:szCs w:val="24"/>
        </w:rPr>
        <w:t xml:space="preserve">darba devēju īpatsvars ir samazinājies par </w:t>
      </w:r>
      <w:r w:rsidR="00977424">
        <w:rPr>
          <w:rFonts w:ascii="Times New Roman" w:eastAsia="Times New Roman" w:hAnsi="Times New Roman" w:cs="Times New Roman"/>
          <w:bCs/>
          <w:sz w:val="24"/>
          <w:szCs w:val="24"/>
        </w:rPr>
        <w:t>diviem</w:t>
      </w:r>
      <w:r w:rsidR="00EB3FEE">
        <w:rPr>
          <w:rFonts w:ascii="Times New Roman" w:eastAsia="Times New Roman" w:hAnsi="Times New Roman" w:cs="Times New Roman"/>
          <w:bCs/>
          <w:sz w:val="24"/>
          <w:szCs w:val="24"/>
        </w:rPr>
        <w:t xml:space="preserve"> procent</w:t>
      </w:r>
      <w:r w:rsidR="00E57610">
        <w:rPr>
          <w:rFonts w:ascii="Times New Roman" w:eastAsia="Times New Roman" w:hAnsi="Times New Roman" w:cs="Times New Roman"/>
          <w:bCs/>
          <w:sz w:val="24"/>
          <w:szCs w:val="24"/>
        </w:rPr>
        <w:t xml:space="preserve">punktiem, </w:t>
      </w:r>
      <w:r w:rsidR="00FD7301">
        <w:rPr>
          <w:rFonts w:ascii="Times New Roman" w:eastAsia="Times New Roman" w:hAnsi="Times New Roman" w:cs="Times New Roman"/>
          <w:bCs/>
          <w:sz w:val="24"/>
          <w:szCs w:val="24"/>
        </w:rPr>
        <w:t>savukārt</w:t>
      </w:r>
      <w:r w:rsidR="00E57610">
        <w:rPr>
          <w:rFonts w:ascii="Times New Roman" w:eastAsia="Times New Roman" w:hAnsi="Times New Roman" w:cs="Times New Roman"/>
          <w:bCs/>
          <w:sz w:val="24"/>
          <w:szCs w:val="24"/>
        </w:rPr>
        <w:t xml:space="preserve"> augļkopības un dārzeņkopības nozarē p</w:t>
      </w:r>
      <w:r w:rsidR="00FD7301">
        <w:rPr>
          <w:rFonts w:ascii="Times New Roman" w:eastAsia="Times New Roman" w:hAnsi="Times New Roman" w:cs="Times New Roman"/>
          <w:bCs/>
          <w:sz w:val="24"/>
          <w:szCs w:val="24"/>
        </w:rPr>
        <w:t>alielinājies</w:t>
      </w:r>
      <w:r w:rsidR="00E57610">
        <w:rPr>
          <w:rFonts w:ascii="Times New Roman" w:eastAsia="Times New Roman" w:hAnsi="Times New Roman" w:cs="Times New Roman"/>
          <w:bCs/>
          <w:sz w:val="24"/>
          <w:szCs w:val="24"/>
        </w:rPr>
        <w:t xml:space="preserve"> par </w:t>
      </w:r>
      <w:r w:rsidR="00977424">
        <w:rPr>
          <w:rFonts w:ascii="Times New Roman" w:eastAsia="Times New Roman" w:hAnsi="Times New Roman" w:cs="Times New Roman"/>
          <w:bCs/>
          <w:sz w:val="24"/>
          <w:szCs w:val="24"/>
        </w:rPr>
        <w:t>četriem</w:t>
      </w:r>
      <w:r w:rsidR="00E57610">
        <w:rPr>
          <w:rFonts w:ascii="Times New Roman" w:eastAsia="Times New Roman" w:hAnsi="Times New Roman" w:cs="Times New Roman"/>
          <w:bCs/>
          <w:sz w:val="24"/>
          <w:szCs w:val="24"/>
        </w:rPr>
        <w:t xml:space="preserve"> procentpunktiem.</w:t>
      </w:r>
    </w:p>
    <w:p w14:paraId="3DD7E3B4" w14:textId="588E29B6" w:rsidR="00A42E3C" w:rsidRDefault="00FD7301" w:rsidP="00D65087">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A42E3C">
        <w:rPr>
          <w:rFonts w:ascii="Times New Roman" w:eastAsia="Times New Roman" w:hAnsi="Times New Roman" w:cs="Times New Roman"/>
          <w:bCs/>
          <w:sz w:val="24"/>
          <w:szCs w:val="24"/>
        </w:rPr>
        <w:t xml:space="preserve">k gadu </w:t>
      </w:r>
      <w:r>
        <w:rPr>
          <w:rFonts w:ascii="Times New Roman" w:eastAsia="Times New Roman" w:hAnsi="Times New Roman" w:cs="Times New Roman"/>
          <w:bCs/>
          <w:sz w:val="24"/>
          <w:szCs w:val="24"/>
        </w:rPr>
        <w:t>mainās arī</w:t>
      </w:r>
      <w:r w:rsidR="00A42E3C">
        <w:rPr>
          <w:rFonts w:ascii="Times New Roman" w:eastAsia="Times New Roman" w:hAnsi="Times New Roman" w:cs="Times New Roman"/>
          <w:bCs/>
          <w:sz w:val="24"/>
          <w:szCs w:val="24"/>
        </w:rPr>
        <w:t xml:space="preserve"> to darba devēju īpatsvars, kuri aprēķina darba bruto ienākumus</w:t>
      </w:r>
      <w:r w:rsidR="0027244B">
        <w:rPr>
          <w:rFonts w:ascii="Times New Roman" w:eastAsia="Times New Roman" w:hAnsi="Times New Roman" w:cs="Times New Roman"/>
          <w:bCs/>
          <w:sz w:val="24"/>
          <w:szCs w:val="24"/>
        </w:rPr>
        <w:t xml:space="preserve"> </w:t>
      </w:r>
      <w:r w:rsidR="00A42E3C">
        <w:rPr>
          <w:rFonts w:ascii="Times New Roman" w:eastAsia="Times New Roman" w:hAnsi="Times New Roman" w:cs="Times New Roman"/>
          <w:bCs/>
          <w:sz w:val="24"/>
          <w:szCs w:val="24"/>
        </w:rPr>
        <w:t xml:space="preserve">virs 1000 </w:t>
      </w:r>
      <w:proofErr w:type="spellStart"/>
      <w:r w:rsidR="00A42E3C" w:rsidRPr="0077620C">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sz w:val="24"/>
          <w:szCs w:val="24"/>
        </w:rPr>
        <w:t>:</w:t>
      </w:r>
      <w:r w:rsidR="00850CBD">
        <w:rPr>
          <w:rFonts w:ascii="Times New Roman" w:eastAsia="Times New Roman" w:hAnsi="Times New Roman" w:cs="Times New Roman"/>
          <w:bCs/>
          <w:sz w:val="24"/>
          <w:szCs w:val="24"/>
        </w:rPr>
        <w:t xml:space="preserve"> vidēji valstī 2022.</w:t>
      </w:r>
      <w:r w:rsidR="00EF5E2C">
        <w:rPr>
          <w:rFonts w:ascii="Times New Roman" w:eastAsia="Times New Roman" w:hAnsi="Times New Roman" w:cs="Times New Roman"/>
          <w:bCs/>
          <w:sz w:val="24"/>
          <w:szCs w:val="24"/>
        </w:rPr>
        <w:t xml:space="preserve"> </w:t>
      </w:r>
      <w:r w:rsidR="00850CBD">
        <w:rPr>
          <w:rFonts w:ascii="Times New Roman" w:eastAsia="Times New Roman" w:hAnsi="Times New Roman" w:cs="Times New Roman"/>
          <w:bCs/>
          <w:sz w:val="24"/>
          <w:szCs w:val="24"/>
        </w:rPr>
        <w:t xml:space="preserve">gadā vērojams </w:t>
      </w:r>
      <w:r w:rsidR="003016AB">
        <w:rPr>
          <w:rFonts w:ascii="Times New Roman" w:eastAsia="Times New Roman" w:hAnsi="Times New Roman" w:cs="Times New Roman"/>
          <w:bCs/>
          <w:sz w:val="24"/>
          <w:szCs w:val="24"/>
        </w:rPr>
        <w:t>samazinājums</w:t>
      </w:r>
      <w:r w:rsidR="00850CBD">
        <w:rPr>
          <w:rFonts w:ascii="Times New Roman" w:eastAsia="Times New Roman" w:hAnsi="Times New Roman" w:cs="Times New Roman"/>
          <w:bCs/>
          <w:sz w:val="24"/>
          <w:szCs w:val="24"/>
        </w:rPr>
        <w:t xml:space="preserve"> salīdzinājumā ar 2018.</w:t>
      </w:r>
      <w:r w:rsidR="00EF5E2C">
        <w:rPr>
          <w:rFonts w:ascii="Times New Roman" w:eastAsia="Times New Roman" w:hAnsi="Times New Roman" w:cs="Times New Roman"/>
          <w:bCs/>
          <w:sz w:val="24"/>
          <w:szCs w:val="24"/>
        </w:rPr>
        <w:t xml:space="preserve"> </w:t>
      </w:r>
      <w:r w:rsidR="00850CBD">
        <w:rPr>
          <w:rFonts w:ascii="Times New Roman" w:eastAsia="Times New Roman" w:hAnsi="Times New Roman" w:cs="Times New Roman"/>
          <w:bCs/>
          <w:sz w:val="24"/>
          <w:szCs w:val="24"/>
        </w:rPr>
        <w:t>gadu</w:t>
      </w:r>
      <w:r w:rsidR="00EF5E2C">
        <w:rPr>
          <w:rFonts w:ascii="Times New Roman" w:eastAsia="Times New Roman" w:hAnsi="Times New Roman" w:cs="Times New Roman"/>
          <w:bCs/>
          <w:sz w:val="24"/>
          <w:szCs w:val="24"/>
        </w:rPr>
        <w:t> </w:t>
      </w:r>
      <w:r w:rsidR="00850CBD">
        <w:rPr>
          <w:rFonts w:ascii="Times New Roman" w:eastAsia="Times New Roman" w:hAnsi="Times New Roman" w:cs="Times New Roman"/>
          <w:bCs/>
          <w:sz w:val="24"/>
          <w:szCs w:val="24"/>
        </w:rPr>
        <w:t xml:space="preserve">– </w:t>
      </w:r>
      <w:r w:rsidR="001A1D64">
        <w:rPr>
          <w:rFonts w:ascii="Times New Roman" w:eastAsia="Times New Roman" w:hAnsi="Times New Roman" w:cs="Times New Roman"/>
          <w:bCs/>
          <w:sz w:val="24"/>
          <w:szCs w:val="24"/>
        </w:rPr>
        <w:t xml:space="preserve">divi </w:t>
      </w:r>
      <w:r w:rsidR="00850CBD">
        <w:rPr>
          <w:rFonts w:ascii="Times New Roman" w:eastAsia="Times New Roman" w:hAnsi="Times New Roman" w:cs="Times New Roman"/>
          <w:bCs/>
          <w:sz w:val="24"/>
          <w:szCs w:val="24"/>
        </w:rPr>
        <w:lastRenderedPageBreak/>
        <w:t>procentpunkti, t</w:t>
      </w:r>
      <w:r>
        <w:rPr>
          <w:rFonts w:ascii="Times New Roman" w:eastAsia="Times New Roman" w:hAnsi="Times New Roman" w:cs="Times New Roman"/>
          <w:bCs/>
          <w:sz w:val="24"/>
          <w:szCs w:val="24"/>
        </w:rPr>
        <w:t>urpretī</w:t>
      </w:r>
      <w:r w:rsidR="00850CBD">
        <w:rPr>
          <w:rFonts w:ascii="Times New Roman" w:eastAsia="Times New Roman" w:hAnsi="Times New Roman" w:cs="Times New Roman"/>
          <w:bCs/>
          <w:sz w:val="24"/>
          <w:szCs w:val="24"/>
        </w:rPr>
        <w:t xml:space="preserve"> augļkopības un dārzeņkopības nozarē </w:t>
      </w:r>
      <w:r w:rsidR="003016AB">
        <w:rPr>
          <w:rFonts w:ascii="Times New Roman" w:eastAsia="Times New Roman" w:hAnsi="Times New Roman" w:cs="Times New Roman"/>
          <w:bCs/>
          <w:sz w:val="24"/>
          <w:szCs w:val="24"/>
        </w:rPr>
        <w:t xml:space="preserve">vērojams pieaugums </w:t>
      </w:r>
      <w:r>
        <w:rPr>
          <w:rFonts w:ascii="Times New Roman" w:eastAsia="Times New Roman" w:hAnsi="Times New Roman" w:cs="Times New Roman"/>
          <w:bCs/>
          <w:sz w:val="24"/>
          <w:szCs w:val="24"/>
        </w:rPr>
        <w:t xml:space="preserve">– </w:t>
      </w:r>
      <w:r w:rsidR="001A1D64">
        <w:rPr>
          <w:rFonts w:ascii="Times New Roman" w:eastAsia="Times New Roman" w:hAnsi="Times New Roman" w:cs="Times New Roman"/>
          <w:bCs/>
          <w:sz w:val="24"/>
          <w:szCs w:val="24"/>
        </w:rPr>
        <w:t xml:space="preserve">četri </w:t>
      </w:r>
      <w:r w:rsidR="00850CBD">
        <w:rPr>
          <w:rFonts w:ascii="Times New Roman" w:eastAsia="Times New Roman" w:hAnsi="Times New Roman" w:cs="Times New Roman"/>
          <w:bCs/>
          <w:sz w:val="24"/>
          <w:szCs w:val="24"/>
        </w:rPr>
        <w:t>procentpunkti</w:t>
      </w:r>
      <w:r w:rsidR="003016AB">
        <w:rPr>
          <w:rFonts w:ascii="Times New Roman" w:eastAsia="Times New Roman" w:hAnsi="Times New Roman" w:cs="Times New Roman"/>
          <w:bCs/>
          <w:sz w:val="24"/>
          <w:szCs w:val="24"/>
        </w:rPr>
        <w:t>.</w:t>
      </w:r>
    </w:p>
    <w:p w14:paraId="2063E459" w14:textId="49558D50" w:rsidR="005F204F" w:rsidRPr="00D65087" w:rsidRDefault="00FD7301" w:rsidP="005563CD">
      <w:pPr>
        <w:pStyle w:val="ListParagraph"/>
        <w:spacing w:after="0" w:line="240" w:lineRule="auto"/>
        <w:ind w:left="0" w:firstLine="714"/>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Tādējādi par </w:t>
      </w:r>
      <w:r w:rsidRPr="003D2559">
        <w:rPr>
          <w:rFonts w:ascii="Times New Roman" w:eastAsia="Times New Roman" w:hAnsi="Times New Roman" w:cs="Times New Roman"/>
          <w:bCs/>
          <w:sz w:val="24"/>
          <w:szCs w:val="24"/>
        </w:rPr>
        <w:t>ēnu ekonomika</w:t>
      </w:r>
      <w:r>
        <w:rPr>
          <w:rFonts w:ascii="Times New Roman" w:eastAsia="Times New Roman" w:hAnsi="Times New Roman" w:cs="Times New Roman"/>
          <w:bCs/>
          <w:sz w:val="24"/>
          <w:szCs w:val="24"/>
        </w:rPr>
        <w:t>s mazināšanos</w:t>
      </w:r>
      <w:r w:rsidRPr="003D2559">
        <w:rPr>
          <w:rFonts w:ascii="Times New Roman" w:eastAsia="Times New Roman" w:hAnsi="Times New Roman" w:cs="Times New Roman"/>
          <w:bCs/>
          <w:sz w:val="24"/>
          <w:szCs w:val="24"/>
        </w:rPr>
        <w:t xml:space="preserve"> augļkopības un dārzeņkopības nozarē</w:t>
      </w:r>
      <w:r>
        <w:rPr>
          <w:rFonts w:ascii="Times New Roman" w:eastAsia="Times New Roman" w:hAnsi="Times New Roman" w:cs="Times New Roman"/>
          <w:bCs/>
          <w:sz w:val="24"/>
          <w:szCs w:val="24"/>
        </w:rPr>
        <w:t xml:space="preserve"> liecina a</w:t>
      </w:r>
      <w:r w:rsidR="00474B93">
        <w:rPr>
          <w:rFonts w:ascii="Times New Roman" w:eastAsia="Times New Roman" w:hAnsi="Times New Roman" w:cs="Times New Roman"/>
          <w:bCs/>
          <w:sz w:val="24"/>
          <w:szCs w:val="24"/>
        </w:rPr>
        <w:t xml:space="preserve">rī tas, ka aizvien vairāk </w:t>
      </w:r>
      <w:r w:rsidR="00B37180">
        <w:rPr>
          <w:rFonts w:ascii="Times New Roman" w:eastAsia="Times New Roman" w:hAnsi="Times New Roman" w:cs="Times New Roman"/>
          <w:bCs/>
          <w:sz w:val="24"/>
          <w:szCs w:val="24"/>
        </w:rPr>
        <w:t>samazinās</w:t>
      </w:r>
      <w:r w:rsidR="00474B93">
        <w:rPr>
          <w:rFonts w:ascii="Times New Roman" w:eastAsia="Times New Roman" w:hAnsi="Times New Roman" w:cs="Times New Roman"/>
          <w:bCs/>
          <w:sz w:val="24"/>
          <w:szCs w:val="24"/>
        </w:rPr>
        <w:t xml:space="preserve"> t</w:t>
      </w:r>
      <w:r>
        <w:rPr>
          <w:rFonts w:ascii="Times New Roman" w:eastAsia="Times New Roman" w:hAnsi="Times New Roman" w:cs="Times New Roman"/>
          <w:bCs/>
          <w:sz w:val="24"/>
          <w:szCs w:val="24"/>
        </w:rPr>
        <w:t>o</w:t>
      </w:r>
      <w:r w:rsidR="00474B93">
        <w:rPr>
          <w:rFonts w:ascii="Times New Roman" w:eastAsia="Times New Roman" w:hAnsi="Times New Roman" w:cs="Times New Roman"/>
          <w:bCs/>
          <w:sz w:val="24"/>
          <w:szCs w:val="24"/>
        </w:rPr>
        <w:t xml:space="preserve"> darba devēju īpatsvars</w:t>
      </w:r>
      <w:r w:rsidR="00B37180">
        <w:rPr>
          <w:rFonts w:ascii="Times New Roman" w:eastAsia="Times New Roman" w:hAnsi="Times New Roman" w:cs="Times New Roman"/>
          <w:bCs/>
          <w:sz w:val="24"/>
          <w:szCs w:val="24"/>
        </w:rPr>
        <w:t xml:space="preserve">, </w:t>
      </w:r>
      <w:r w:rsidR="00B37180">
        <w:rPr>
          <w:rFonts w:ascii="Times New Roman" w:eastAsia="Times New Roman" w:hAnsi="Times New Roman" w:cs="Times New Roman"/>
          <w:sz w:val="24"/>
          <w:szCs w:val="24"/>
        </w:rPr>
        <w:t>īpatsvars, k</w:t>
      </w:r>
      <w:r>
        <w:rPr>
          <w:rFonts w:ascii="Times New Roman" w:eastAsia="Times New Roman" w:hAnsi="Times New Roman" w:cs="Times New Roman"/>
          <w:sz w:val="24"/>
          <w:szCs w:val="24"/>
        </w:rPr>
        <w:t>as</w:t>
      </w:r>
      <w:r w:rsidR="00B37180">
        <w:rPr>
          <w:rFonts w:ascii="Times New Roman" w:eastAsia="Times New Roman" w:hAnsi="Times New Roman" w:cs="Times New Roman"/>
          <w:sz w:val="24"/>
          <w:szCs w:val="24"/>
        </w:rPr>
        <w:t xml:space="preserve"> aprēķina </w:t>
      </w:r>
      <w:r>
        <w:rPr>
          <w:rFonts w:ascii="Times New Roman" w:eastAsia="Times New Roman" w:hAnsi="Times New Roman" w:cs="Times New Roman"/>
          <w:sz w:val="24"/>
          <w:szCs w:val="24"/>
        </w:rPr>
        <w:t xml:space="preserve">par valstī noteikto minimālo darba algu mazākus darba </w:t>
      </w:r>
      <w:r w:rsidR="00B37180">
        <w:rPr>
          <w:rFonts w:ascii="Times New Roman" w:eastAsia="Times New Roman" w:hAnsi="Times New Roman" w:cs="Times New Roman"/>
          <w:sz w:val="24"/>
          <w:szCs w:val="24"/>
        </w:rPr>
        <w:t>bruto ienākumus</w:t>
      </w:r>
      <w:r w:rsidR="003D2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 </w:t>
      </w:r>
      <w:r w:rsidR="003D2559">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alielinās</w:t>
      </w:r>
      <w:r w:rsidR="003D2559">
        <w:rPr>
          <w:rFonts w:ascii="Times New Roman" w:eastAsia="Times New Roman" w:hAnsi="Times New Roman" w:cs="Times New Roman"/>
          <w:bCs/>
          <w:sz w:val="24"/>
          <w:szCs w:val="24"/>
        </w:rPr>
        <w:t xml:space="preserve"> to darba devēju īpatsvars, kuri aprēķina </w:t>
      </w:r>
      <w:r>
        <w:rPr>
          <w:rFonts w:ascii="Times New Roman" w:eastAsia="Times New Roman" w:hAnsi="Times New Roman" w:cs="Times New Roman"/>
          <w:bCs/>
          <w:sz w:val="24"/>
          <w:szCs w:val="24"/>
        </w:rPr>
        <w:t xml:space="preserve">ar valstī noteikto minimālo darba algu vienādus </w:t>
      </w:r>
      <w:r w:rsidR="003D2559">
        <w:rPr>
          <w:rFonts w:ascii="Times New Roman" w:eastAsia="Times New Roman" w:hAnsi="Times New Roman" w:cs="Times New Roman"/>
          <w:bCs/>
          <w:sz w:val="24"/>
          <w:szCs w:val="24"/>
        </w:rPr>
        <w:t xml:space="preserve">darba bruto ienākumus </w:t>
      </w:r>
      <w:r>
        <w:rPr>
          <w:rFonts w:ascii="Times New Roman" w:eastAsia="Times New Roman" w:hAnsi="Times New Roman" w:cs="Times New Roman"/>
          <w:bCs/>
          <w:sz w:val="24"/>
          <w:szCs w:val="24"/>
        </w:rPr>
        <w:t>vai</w:t>
      </w:r>
      <w:r w:rsidR="003D2559">
        <w:rPr>
          <w:rFonts w:ascii="Times New Roman" w:eastAsia="Times New Roman" w:hAnsi="Times New Roman" w:cs="Times New Roman"/>
          <w:bCs/>
          <w:sz w:val="24"/>
          <w:szCs w:val="24"/>
        </w:rPr>
        <w:t xml:space="preserve"> virs 1000 </w:t>
      </w:r>
      <w:proofErr w:type="spellStart"/>
      <w:r w:rsidR="003D2559" w:rsidRPr="0077620C">
        <w:rPr>
          <w:rFonts w:ascii="Times New Roman" w:eastAsia="Times New Roman" w:hAnsi="Times New Roman" w:cs="Times New Roman"/>
          <w:bCs/>
          <w:i/>
          <w:iCs/>
          <w:sz w:val="24"/>
          <w:szCs w:val="24"/>
        </w:rPr>
        <w:t>euro</w:t>
      </w:r>
      <w:proofErr w:type="spellEnd"/>
      <w:r w:rsidR="00474B93" w:rsidRPr="003D2559">
        <w:rPr>
          <w:rFonts w:ascii="Times New Roman" w:eastAsia="Times New Roman" w:hAnsi="Times New Roman" w:cs="Times New Roman"/>
          <w:bCs/>
          <w:sz w:val="24"/>
          <w:szCs w:val="24"/>
        </w:rPr>
        <w:t>.</w:t>
      </w:r>
    </w:p>
    <w:p w14:paraId="3579CEA0" w14:textId="14E55FD1" w:rsidR="00F2711D" w:rsidRDefault="00F2711D" w:rsidP="00F2711D">
      <w:pPr>
        <w:tabs>
          <w:tab w:val="left" w:pos="1134"/>
        </w:tabs>
        <w:spacing w:before="120" w:after="12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4.tabula</w:t>
      </w:r>
    </w:p>
    <w:tbl>
      <w:tblPr>
        <w:tblStyle w:val="TableGrid"/>
        <w:tblW w:w="0" w:type="auto"/>
        <w:jc w:val="center"/>
        <w:tblLook w:val="04A0" w:firstRow="1" w:lastRow="0" w:firstColumn="1" w:lastColumn="0" w:noHBand="0" w:noVBand="1"/>
      </w:tblPr>
      <w:tblGrid>
        <w:gridCol w:w="3256"/>
        <w:gridCol w:w="5805"/>
      </w:tblGrid>
      <w:tr w:rsidR="002573D5" w14:paraId="0220CA67" w14:textId="2BA36AEB" w:rsidTr="00827749">
        <w:trPr>
          <w:jc w:val="center"/>
        </w:trPr>
        <w:tc>
          <w:tcPr>
            <w:tcW w:w="9061" w:type="dxa"/>
            <w:gridSpan w:val="2"/>
          </w:tcPr>
          <w:p w14:paraId="37499682" w14:textId="72DFDED1" w:rsidR="002573D5" w:rsidRPr="009A6EC4" w:rsidRDefault="002573D5" w:rsidP="007C1FEA">
            <w:pPr>
              <w:tabs>
                <w:tab w:val="left" w:pos="1134"/>
              </w:tabs>
              <w:spacing w:after="120"/>
              <w:jc w:val="both"/>
              <w:rPr>
                <w:rFonts w:ascii="Times New Roman" w:eastAsia="Times New Roman" w:hAnsi="Times New Roman" w:cs="Times New Roman"/>
                <w:b/>
                <w:sz w:val="24"/>
                <w:szCs w:val="24"/>
              </w:rPr>
            </w:pPr>
            <w:r w:rsidRPr="009A6EC4">
              <w:rPr>
                <w:rFonts w:ascii="Times New Roman" w:eastAsia="Times New Roman" w:hAnsi="Times New Roman" w:cs="Times New Roman"/>
                <w:b/>
                <w:sz w:val="24"/>
                <w:szCs w:val="24"/>
              </w:rPr>
              <w:t>Rezultatīvais rādītājs “Ēnu ekonomika ir mazinājusies (ik gadu)</w:t>
            </w:r>
            <w:r>
              <w:rPr>
                <w:rFonts w:ascii="Times New Roman" w:eastAsia="Times New Roman" w:hAnsi="Times New Roman" w:cs="Times New Roman"/>
                <w:b/>
                <w:sz w:val="24"/>
                <w:szCs w:val="24"/>
              </w:rPr>
              <w:t>”</w:t>
            </w:r>
          </w:p>
        </w:tc>
      </w:tr>
      <w:tr w:rsidR="009C7660" w14:paraId="2B833191" w14:textId="3F18A374" w:rsidTr="00827749">
        <w:trPr>
          <w:trHeight w:val="888"/>
          <w:jc w:val="center"/>
        </w:trPr>
        <w:tc>
          <w:tcPr>
            <w:tcW w:w="3256" w:type="dxa"/>
          </w:tcPr>
          <w:p w14:paraId="255FF390" w14:textId="4C507E2E" w:rsidR="009C7660" w:rsidRDefault="009C7660" w:rsidP="007C1FEA">
            <w:pPr>
              <w:tabs>
                <w:tab w:val="left" w:pos="1134"/>
              </w:tabs>
              <w:jc w:val="both"/>
              <w:rPr>
                <w:rFonts w:ascii="Times New Roman" w:eastAsia="Times New Roman" w:hAnsi="Times New Roman" w:cs="Times New Roman"/>
                <w:bCs/>
                <w:sz w:val="24"/>
                <w:szCs w:val="24"/>
              </w:rPr>
            </w:pPr>
            <w:r w:rsidRPr="00734F1A">
              <w:rPr>
                <w:rFonts w:ascii="Times New Roman" w:hAnsi="Times New Roman" w:cs="Times New Roman"/>
                <w:sz w:val="24"/>
                <w:szCs w:val="24"/>
              </w:rPr>
              <w:t>PVD konstatēto pārkāpumu skaita dinamika augļu, ogu un dārzeņu tirdzniecībā</w:t>
            </w:r>
            <w:r w:rsidR="0036581E">
              <w:rPr>
                <w:rFonts w:ascii="Times New Roman" w:hAnsi="Times New Roman" w:cs="Times New Roman"/>
                <w:sz w:val="24"/>
                <w:szCs w:val="24"/>
              </w:rPr>
              <w:t xml:space="preserve"> no 2017. līdz 2022.</w:t>
            </w:r>
            <w:r w:rsidR="00EF5E2C">
              <w:rPr>
                <w:rFonts w:ascii="Times New Roman" w:hAnsi="Times New Roman" w:cs="Times New Roman"/>
                <w:sz w:val="24"/>
                <w:szCs w:val="24"/>
              </w:rPr>
              <w:t xml:space="preserve"> </w:t>
            </w:r>
            <w:r w:rsidR="0036581E">
              <w:rPr>
                <w:rFonts w:ascii="Times New Roman" w:hAnsi="Times New Roman" w:cs="Times New Roman"/>
                <w:sz w:val="24"/>
                <w:szCs w:val="24"/>
              </w:rPr>
              <w:t>gada</w:t>
            </w:r>
            <w:r w:rsidR="00EF5E2C">
              <w:rPr>
                <w:rFonts w:ascii="Times New Roman" w:hAnsi="Times New Roman" w:cs="Times New Roman"/>
                <w:sz w:val="24"/>
                <w:szCs w:val="24"/>
              </w:rPr>
              <w:t>m</w:t>
            </w:r>
          </w:p>
        </w:tc>
        <w:tc>
          <w:tcPr>
            <w:tcW w:w="5805" w:type="dxa"/>
          </w:tcPr>
          <w:p w14:paraId="30126C3D" w14:textId="29367E84" w:rsidR="00CB6333" w:rsidRPr="00CB6333" w:rsidRDefault="00CB6333" w:rsidP="00B139B6">
            <w:pPr>
              <w:pStyle w:val="ListParagraph"/>
              <w:numPr>
                <w:ilvl w:val="0"/>
                <w:numId w:val="34"/>
              </w:num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PVD</w:t>
            </w:r>
            <w:r w:rsidR="009C7660" w:rsidRPr="002074B6">
              <w:rPr>
                <w:rFonts w:ascii="Times New Roman" w:eastAsia="Times New Roman" w:hAnsi="Times New Roman" w:cs="Times New Roman"/>
                <w:sz w:val="24"/>
                <w:szCs w:val="24"/>
              </w:rPr>
              <w:t xml:space="preserve"> </w:t>
            </w:r>
            <w:r w:rsidR="00FD7301">
              <w:rPr>
                <w:rFonts w:ascii="Times New Roman" w:eastAsia="Times New Roman" w:hAnsi="Times New Roman" w:cs="Times New Roman"/>
                <w:sz w:val="24"/>
                <w:szCs w:val="24"/>
              </w:rPr>
              <w:t>pārbaudēs</w:t>
            </w:r>
            <w:r w:rsidR="00FD7301" w:rsidRPr="002074B6">
              <w:rPr>
                <w:rFonts w:ascii="Times New Roman" w:eastAsia="Times New Roman" w:hAnsi="Times New Roman" w:cs="Times New Roman"/>
                <w:sz w:val="24"/>
                <w:szCs w:val="24"/>
              </w:rPr>
              <w:t xml:space="preserve"> </w:t>
            </w:r>
            <w:r w:rsidR="009C7660" w:rsidRPr="002074B6">
              <w:rPr>
                <w:rFonts w:ascii="Times New Roman" w:eastAsia="Times New Roman" w:hAnsi="Times New Roman" w:cs="Times New Roman"/>
                <w:sz w:val="24"/>
                <w:szCs w:val="24"/>
              </w:rPr>
              <w:t>konstatēt</w:t>
            </w:r>
            <w:r>
              <w:rPr>
                <w:rFonts w:ascii="Times New Roman" w:eastAsia="Times New Roman" w:hAnsi="Times New Roman" w:cs="Times New Roman"/>
                <w:sz w:val="24"/>
                <w:szCs w:val="24"/>
              </w:rPr>
              <w:t xml:space="preserve">o neatbilstību skaits </w:t>
            </w:r>
            <w:r w:rsidR="00FD7301">
              <w:rPr>
                <w:rFonts w:ascii="Times New Roman" w:eastAsia="Times New Roman" w:hAnsi="Times New Roman" w:cs="Times New Roman"/>
                <w:sz w:val="24"/>
                <w:szCs w:val="24"/>
              </w:rPr>
              <w:t xml:space="preserve">ievērojami </w:t>
            </w:r>
            <w:r>
              <w:rPr>
                <w:rFonts w:ascii="Times New Roman" w:eastAsia="Times New Roman" w:hAnsi="Times New Roman" w:cs="Times New Roman"/>
                <w:sz w:val="24"/>
                <w:szCs w:val="24"/>
              </w:rPr>
              <w:t xml:space="preserve">samazinājies </w:t>
            </w:r>
            <w:r w:rsidR="00FD7301">
              <w:rPr>
                <w:rFonts w:ascii="Times New Roman" w:eastAsia="Times New Roman" w:hAnsi="Times New Roman" w:cs="Times New Roman"/>
                <w:sz w:val="24"/>
                <w:szCs w:val="24"/>
              </w:rPr>
              <w:t>–</w:t>
            </w:r>
            <w:r w:rsidR="009C7660">
              <w:rPr>
                <w:rFonts w:ascii="Times New Roman" w:eastAsia="Times New Roman" w:hAnsi="Times New Roman" w:cs="Times New Roman"/>
                <w:sz w:val="24"/>
                <w:szCs w:val="24"/>
              </w:rPr>
              <w:t xml:space="preserve"> </w:t>
            </w:r>
            <w:r w:rsidR="009C7660" w:rsidRPr="002074B6">
              <w:rPr>
                <w:rFonts w:ascii="Times New Roman" w:eastAsia="Times New Roman" w:hAnsi="Times New Roman" w:cs="Times New Roman"/>
                <w:sz w:val="24"/>
                <w:szCs w:val="24"/>
              </w:rPr>
              <w:t>par 30</w:t>
            </w:r>
            <w:r w:rsidR="009C7660">
              <w:rPr>
                <w:rFonts w:ascii="Times New Roman" w:eastAsia="Times New Roman" w:hAnsi="Times New Roman" w:cs="Times New Roman"/>
                <w:sz w:val="24"/>
                <w:szCs w:val="24"/>
              </w:rPr>
              <w:t xml:space="preserve"> procentpunktiem</w:t>
            </w:r>
          </w:p>
          <w:p w14:paraId="2F43687E" w14:textId="05251678" w:rsidR="00D42104" w:rsidRPr="00AC183E" w:rsidRDefault="00DE0E3E" w:rsidP="00B139B6">
            <w:pPr>
              <w:pStyle w:val="ListParagraph"/>
              <w:numPr>
                <w:ilvl w:val="0"/>
                <w:numId w:val="34"/>
              </w:num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PVD konstatēto </w:t>
            </w:r>
            <w:r w:rsidR="009C7660" w:rsidRPr="002074B6">
              <w:rPr>
                <w:rFonts w:ascii="Times New Roman" w:eastAsia="Times New Roman" w:hAnsi="Times New Roman" w:cs="Times New Roman"/>
                <w:sz w:val="24"/>
                <w:szCs w:val="24"/>
              </w:rPr>
              <w:t xml:space="preserve">neatbilstošo partiju īpatsvars no pārbaudītajām </w:t>
            </w:r>
            <w:r w:rsidR="00FD7301">
              <w:rPr>
                <w:rFonts w:ascii="Times New Roman" w:eastAsia="Times New Roman" w:hAnsi="Times New Roman" w:cs="Times New Roman"/>
                <w:sz w:val="24"/>
                <w:szCs w:val="24"/>
              </w:rPr>
              <w:t xml:space="preserve">partijām </w:t>
            </w:r>
            <w:r w:rsidR="00D42104">
              <w:rPr>
                <w:rFonts w:ascii="Times New Roman" w:eastAsia="Times New Roman" w:hAnsi="Times New Roman" w:cs="Times New Roman"/>
                <w:sz w:val="24"/>
                <w:szCs w:val="24"/>
              </w:rPr>
              <w:t>samazināj</w:t>
            </w:r>
            <w:r w:rsidR="00FD7301">
              <w:rPr>
                <w:rFonts w:ascii="Times New Roman" w:eastAsia="Times New Roman" w:hAnsi="Times New Roman" w:cs="Times New Roman"/>
                <w:sz w:val="24"/>
                <w:szCs w:val="24"/>
              </w:rPr>
              <w:t>ies</w:t>
            </w:r>
            <w:r w:rsidR="009C7660">
              <w:rPr>
                <w:rFonts w:ascii="Times New Roman" w:eastAsia="Times New Roman" w:hAnsi="Times New Roman" w:cs="Times New Roman"/>
                <w:sz w:val="24"/>
                <w:szCs w:val="24"/>
              </w:rPr>
              <w:t xml:space="preserve"> par </w:t>
            </w:r>
            <w:r w:rsidR="00FD7301">
              <w:rPr>
                <w:rFonts w:ascii="Times New Roman" w:eastAsia="Times New Roman" w:hAnsi="Times New Roman" w:cs="Times New Roman"/>
                <w:sz w:val="24"/>
                <w:szCs w:val="24"/>
              </w:rPr>
              <w:t>četriem</w:t>
            </w:r>
            <w:r w:rsidR="009C7660">
              <w:rPr>
                <w:rFonts w:ascii="Times New Roman" w:eastAsia="Times New Roman" w:hAnsi="Times New Roman" w:cs="Times New Roman"/>
                <w:sz w:val="24"/>
                <w:szCs w:val="24"/>
              </w:rPr>
              <w:t xml:space="preserve"> procentpunktiem</w:t>
            </w:r>
          </w:p>
        </w:tc>
      </w:tr>
      <w:tr w:rsidR="00EC2A40" w14:paraId="65F97E6B" w14:textId="2F77B61E" w:rsidTr="00827749">
        <w:trPr>
          <w:jc w:val="center"/>
        </w:trPr>
        <w:tc>
          <w:tcPr>
            <w:tcW w:w="3256" w:type="dxa"/>
          </w:tcPr>
          <w:p w14:paraId="63114869" w14:textId="4238DF17" w:rsidR="00EC2A40" w:rsidRPr="00904582" w:rsidRDefault="00EC2A40" w:rsidP="00904582">
            <w:pPr>
              <w:pStyle w:val="ListParagraph"/>
              <w:tabs>
                <w:tab w:val="left" w:pos="1134"/>
              </w:tabs>
              <w:spacing w:before="120" w:after="120"/>
              <w:ind w:left="0"/>
              <w:contextualSpacing w:val="0"/>
              <w:jc w:val="both"/>
              <w:rPr>
                <w:rFonts w:ascii="Times New Roman" w:eastAsia="Times New Roman" w:hAnsi="Times New Roman" w:cs="Times New Roman"/>
                <w:sz w:val="24"/>
                <w:szCs w:val="24"/>
              </w:rPr>
            </w:pPr>
            <w:r w:rsidRPr="00904582">
              <w:rPr>
                <w:rFonts w:ascii="Times New Roman" w:eastAsia="Times New Roman" w:hAnsi="Times New Roman" w:cs="Times New Roman"/>
                <w:sz w:val="24"/>
                <w:szCs w:val="24"/>
              </w:rPr>
              <w:t xml:space="preserve">Reģistrēto PVN maksātāju </w:t>
            </w:r>
            <w:r w:rsidR="001A1D64">
              <w:rPr>
                <w:rFonts w:ascii="Times New Roman" w:eastAsia="Times New Roman" w:hAnsi="Times New Roman" w:cs="Times New Roman"/>
                <w:sz w:val="24"/>
                <w:szCs w:val="24"/>
              </w:rPr>
              <w:t>pār</w:t>
            </w:r>
            <w:r w:rsidRPr="00904582">
              <w:rPr>
                <w:rFonts w:ascii="Times New Roman" w:eastAsia="Times New Roman" w:hAnsi="Times New Roman" w:cs="Times New Roman"/>
                <w:sz w:val="24"/>
                <w:szCs w:val="24"/>
              </w:rPr>
              <w:t>maiņu dinamika</w:t>
            </w:r>
            <w:r w:rsidR="0036581E">
              <w:rPr>
                <w:rFonts w:ascii="Times New Roman" w:eastAsia="Times New Roman" w:hAnsi="Times New Roman" w:cs="Times New Roman"/>
                <w:sz w:val="24"/>
                <w:szCs w:val="24"/>
              </w:rPr>
              <w:t xml:space="preserve"> no 2017.</w:t>
            </w:r>
            <w:r w:rsidR="00EF5E2C">
              <w:rPr>
                <w:rFonts w:ascii="Times New Roman" w:eastAsia="Times New Roman" w:hAnsi="Times New Roman" w:cs="Times New Roman"/>
                <w:sz w:val="24"/>
                <w:szCs w:val="24"/>
              </w:rPr>
              <w:t xml:space="preserve"> </w:t>
            </w:r>
            <w:r w:rsidR="0036581E">
              <w:rPr>
                <w:rFonts w:ascii="Times New Roman" w:eastAsia="Times New Roman" w:hAnsi="Times New Roman" w:cs="Times New Roman"/>
                <w:sz w:val="24"/>
                <w:szCs w:val="24"/>
              </w:rPr>
              <w:t>līdz 2022.</w:t>
            </w:r>
            <w:r w:rsidR="00EF5E2C">
              <w:rPr>
                <w:rFonts w:ascii="Times New Roman" w:eastAsia="Times New Roman" w:hAnsi="Times New Roman" w:cs="Times New Roman"/>
                <w:sz w:val="24"/>
                <w:szCs w:val="24"/>
              </w:rPr>
              <w:t> </w:t>
            </w:r>
            <w:r w:rsidR="0036581E">
              <w:rPr>
                <w:rFonts w:ascii="Times New Roman" w:eastAsia="Times New Roman" w:hAnsi="Times New Roman" w:cs="Times New Roman"/>
                <w:sz w:val="24"/>
                <w:szCs w:val="24"/>
              </w:rPr>
              <w:t>gadam</w:t>
            </w:r>
          </w:p>
        </w:tc>
        <w:tc>
          <w:tcPr>
            <w:tcW w:w="5805" w:type="dxa"/>
          </w:tcPr>
          <w:p w14:paraId="4014DBA0" w14:textId="21C0BFE7" w:rsidR="009F200F" w:rsidRPr="009F200F" w:rsidRDefault="009F200F" w:rsidP="00B139B6">
            <w:pPr>
              <w:pStyle w:val="ListParagraph"/>
              <w:numPr>
                <w:ilvl w:val="0"/>
                <w:numId w:val="34"/>
              </w:num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PVN reģistrēto nodokļ</w:t>
            </w:r>
            <w:r w:rsidR="001A1D64">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maksātāju skaits </w:t>
            </w:r>
            <w:r w:rsidRPr="003F4499">
              <w:rPr>
                <w:rFonts w:ascii="Times New Roman" w:eastAsia="Times New Roman" w:hAnsi="Times New Roman" w:cs="Times New Roman"/>
                <w:sz w:val="24"/>
                <w:szCs w:val="24"/>
              </w:rPr>
              <w:t>augļu, ogu un dārzeņu audzētāju</w:t>
            </w:r>
            <w:r>
              <w:rPr>
                <w:rFonts w:ascii="Times New Roman" w:eastAsia="Times New Roman" w:hAnsi="Times New Roman" w:cs="Times New Roman"/>
                <w:sz w:val="24"/>
                <w:szCs w:val="24"/>
              </w:rPr>
              <w:t xml:space="preserve"> un augļu un dārzeņu pārstrādes nozarē ir palielinājies par 18,2</w:t>
            </w:r>
            <w:r w:rsidR="00EF5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1E9262F5" w14:textId="4824E761" w:rsidR="00EC2A40" w:rsidRPr="00E932C0" w:rsidRDefault="009F200F" w:rsidP="00B139B6">
            <w:pPr>
              <w:pStyle w:val="ListParagraph"/>
              <w:numPr>
                <w:ilvl w:val="0"/>
                <w:numId w:val="34"/>
              </w:numPr>
              <w:tabs>
                <w:tab w:val="left" w:pos="1134"/>
              </w:tabs>
              <w:jc w:val="both"/>
              <w:rPr>
                <w:rFonts w:ascii="Times New Roman" w:eastAsia="Times New Roman" w:hAnsi="Times New Roman" w:cs="Times New Roman"/>
                <w:bCs/>
                <w:sz w:val="24"/>
                <w:szCs w:val="24"/>
              </w:rPr>
            </w:pPr>
            <w:r w:rsidRPr="007B13D1">
              <w:rPr>
                <w:rFonts w:ascii="Times New Roman" w:eastAsia="Times New Roman" w:hAnsi="Times New Roman" w:cs="Times New Roman"/>
                <w:sz w:val="24"/>
                <w:szCs w:val="24"/>
              </w:rPr>
              <w:t xml:space="preserve">PVN </w:t>
            </w:r>
            <w:r w:rsidR="00FD7301">
              <w:rPr>
                <w:rFonts w:ascii="Times New Roman" w:eastAsia="Times New Roman" w:hAnsi="Times New Roman" w:cs="Times New Roman"/>
                <w:sz w:val="24"/>
                <w:szCs w:val="24"/>
              </w:rPr>
              <w:t xml:space="preserve">maksātāju </w:t>
            </w:r>
            <w:r w:rsidRPr="007B13D1">
              <w:rPr>
                <w:rFonts w:ascii="Times New Roman" w:eastAsia="Times New Roman" w:hAnsi="Times New Roman" w:cs="Times New Roman"/>
                <w:sz w:val="24"/>
                <w:szCs w:val="24"/>
              </w:rPr>
              <w:t>reģistrā reģistrēto augļu, ogu un dārzeņu vairumtirgotāju un mazumtirgotāju skaits</w:t>
            </w:r>
            <w:r>
              <w:rPr>
                <w:rFonts w:ascii="Times New Roman" w:eastAsia="Times New Roman" w:hAnsi="Times New Roman" w:cs="Times New Roman"/>
                <w:sz w:val="24"/>
                <w:szCs w:val="24"/>
              </w:rPr>
              <w:t xml:space="preserve"> ir samazinājies par 27</w:t>
            </w:r>
            <w:r w:rsidR="00EF5E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tc>
      </w:tr>
      <w:tr w:rsidR="00EC2A40" w14:paraId="47EDC3C2" w14:textId="77777777" w:rsidTr="00827749">
        <w:trPr>
          <w:jc w:val="center"/>
        </w:trPr>
        <w:tc>
          <w:tcPr>
            <w:tcW w:w="3256" w:type="dxa"/>
          </w:tcPr>
          <w:p w14:paraId="42270E61" w14:textId="78A55E5E" w:rsidR="00EC2A40" w:rsidRPr="00904582" w:rsidRDefault="00EC2A40" w:rsidP="00904582">
            <w:pPr>
              <w:pStyle w:val="ListParagraph"/>
              <w:tabs>
                <w:tab w:val="left" w:pos="1134"/>
              </w:tabs>
              <w:spacing w:before="120" w:after="120"/>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Nodarbināto skaita pieaugums</w:t>
            </w:r>
            <w:r w:rsidR="00B139B6">
              <w:rPr>
                <w:rFonts w:ascii="Times New Roman" w:eastAsia="Times New Roman" w:hAnsi="Times New Roman" w:cs="Times New Roman"/>
                <w:sz w:val="24"/>
                <w:szCs w:val="24"/>
              </w:rPr>
              <w:t xml:space="preserve"> no 2017. līdz 2022. gadam</w:t>
            </w:r>
          </w:p>
        </w:tc>
        <w:tc>
          <w:tcPr>
            <w:tcW w:w="5805" w:type="dxa"/>
          </w:tcPr>
          <w:p w14:paraId="2BDFE8AB" w14:textId="65996244" w:rsidR="00EC2A40" w:rsidRPr="00E932C0" w:rsidRDefault="008B60BD" w:rsidP="00B139B6">
            <w:pPr>
              <w:pStyle w:val="ListParagraph"/>
              <w:numPr>
                <w:ilvl w:val="0"/>
                <w:numId w:val="34"/>
              </w:numPr>
              <w:tabs>
                <w:tab w:val="left" w:pos="1134"/>
              </w:tabs>
              <w:jc w:val="both"/>
              <w:rPr>
                <w:rFonts w:ascii="Times New Roman" w:eastAsia="Times New Roman" w:hAnsi="Times New Roman" w:cs="Times New Roman"/>
                <w:bCs/>
                <w:sz w:val="24"/>
                <w:szCs w:val="24"/>
              </w:rPr>
            </w:pPr>
            <w:r w:rsidRPr="008B60BD">
              <w:rPr>
                <w:rFonts w:ascii="Times New Roman" w:eastAsia="Times New Roman" w:hAnsi="Times New Roman" w:cs="Times New Roman"/>
                <w:color w:val="000000" w:themeColor="text1"/>
                <w:sz w:val="24"/>
                <w:szCs w:val="24"/>
              </w:rPr>
              <w:t>Vidējais darba ņēmēju skaits periodos, kuros tie saņēma darba ienākumus, augļkopības un dārzeņkopības nozarē</w:t>
            </w:r>
            <w:r>
              <w:rPr>
                <w:rFonts w:ascii="Times New Roman" w:eastAsia="Times New Roman" w:hAnsi="Times New Roman" w:cs="Times New Roman"/>
                <w:color w:val="000000" w:themeColor="text1"/>
                <w:sz w:val="24"/>
                <w:szCs w:val="24"/>
              </w:rPr>
              <w:t xml:space="preserve"> ir palielinājies par 9,2</w:t>
            </w:r>
            <w:r w:rsidR="00092827">
              <w:rPr>
                <w:rFonts w:ascii="Times New Roman" w:eastAsia="Times New Roman" w:hAnsi="Times New Roman" w:cs="Times New Roman"/>
                <w:color w:val="000000" w:themeColor="text1"/>
                <w:sz w:val="24"/>
                <w:szCs w:val="24"/>
              </w:rPr>
              <w:t> %</w:t>
            </w:r>
          </w:p>
        </w:tc>
      </w:tr>
      <w:tr w:rsidR="00E932C0" w14:paraId="7D1208FF" w14:textId="77777777" w:rsidTr="00827749">
        <w:trPr>
          <w:jc w:val="center"/>
        </w:trPr>
        <w:tc>
          <w:tcPr>
            <w:tcW w:w="3256" w:type="dxa"/>
          </w:tcPr>
          <w:p w14:paraId="2401AF11" w14:textId="6792C9AF" w:rsidR="00E932C0" w:rsidRPr="00827749" w:rsidRDefault="00E932C0" w:rsidP="00D63B2D">
            <w:pPr>
              <w:tabs>
                <w:tab w:val="left" w:pos="1134"/>
              </w:tabs>
              <w:spacing w:before="120" w:after="120"/>
              <w:jc w:val="both"/>
              <w:rPr>
                <w:rFonts w:ascii="Times New Roman" w:eastAsia="Times New Roman" w:hAnsi="Times New Roman" w:cs="Times New Roman"/>
                <w:sz w:val="24"/>
                <w:szCs w:val="24"/>
              </w:rPr>
            </w:pPr>
            <w:r w:rsidRPr="00827749">
              <w:rPr>
                <w:rFonts w:ascii="Times New Roman" w:eastAsia="Times New Roman" w:hAnsi="Times New Roman" w:cs="Times New Roman"/>
                <w:sz w:val="24"/>
                <w:szCs w:val="24"/>
              </w:rPr>
              <w:t>Darbavietu sadalījum</w:t>
            </w:r>
            <w:r w:rsidR="003C0C84">
              <w:rPr>
                <w:rFonts w:ascii="Times New Roman" w:eastAsia="Times New Roman" w:hAnsi="Times New Roman" w:cs="Times New Roman"/>
                <w:sz w:val="24"/>
                <w:szCs w:val="24"/>
              </w:rPr>
              <w:t>a</w:t>
            </w:r>
            <w:r w:rsidRPr="00827749">
              <w:rPr>
                <w:rFonts w:ascii="Times New Roman" w:eastAsia="Times New Roman" w:hAnsi="Times New Roman" w:cs="Times New Roman"/>
                <w:sz w:val="24"/>
                <w:szCs w:val="24"/>
              </w:rPr>
              <w:t xml:space="preserve"> pēc vidējā darba bruto ienākumu apmēra</w:t>
            </w:r>
            <w:r w:rsidR="003C0C84">
              <w:rPr>
                <w:rFonts w:ascii="Times New Roman" w:eastAsia="Times New Roman" w:hAnsi="Times New Roman" w:cs="Times New Roman"/>
                <w:sz w:val="24"/>
                <w:szCs w:val="24"/>
              </w:rPr>
              <w:t xml:space="preserve"> </w:t>
            </w:r>
            <w:r w:rsidR="00BE61F2">
              <w:rPr>
                <w:rFonts w:ascii="Times New Roman" w:eastAsia="Times New Roman" w:hAnsi="Times New Roman" w:cs="Times New Roman"/>
                <w:sz w:val="24"/>
                <w:szCs w:val="24"/>
              </w:rPr>
              <w:t xml:space="preserve">īpatsvara </w:t>
            </w:r>
            <w:r w:rsidR="00FD7301">
              <w:rPr>
                <w:rFonts w:ascii="Times New Roman" w:eastAsia="Times New Roman" w:hAnsi="Times New Roman" w:cs="Times New Roman"/>
                <w:sz w:val="24"/>
                <w:szCs w:val="24"/>
              </w:rPr>
              <w:t>pār</w:t>
            </w:r>
            <w:r w:rsidR="00BE61F2">
              <w:rPr>
                <w:rFonts w:ascii="Times New Roman" w:eastAsia="Times New Roman" w:hAnsi="Times New Roman" w:cs="Times New Roman"/>
                <w:sz w:val="24"/>
                <w:szCs w:val="24"/>
              </w:rPr>
              <w:t xml:space="preserve">maiņas </w:t>
            </w:r>
            <w:r w:rsidR="003C0C84">
              <w:rPr>
                <w:rFonts w:ascii="Times New Roman" w:eastAsia="Times New Roman" w:hAnsi="Times New Roman" w:cs="Times New Roman"/>
                <w:sz w:val="24"/>
                <w:szCs w:val="24"/>
              </w:rPr>
              <w:t>augļkopības un dārzeņkopības nozarē</w:t>
            </w:r>
            <w:r w:rsidR="00EB3FEE">
              <w:rPr>
                <w:rFonts w:ascii="Times New Roman" w:eastAsia="Times New Roman" w:hAnsi="Times New Roman" w:cs="Times New Roman"/>
                <w:sz w:val="24"/>
                <w:szCs w:val="24"/>
              </w:rPr>
              <w:t xml:space="preserve"> no 2018. līdz 2022.</w:t>
            </w:r>
            <w:r w:rsidR="001A1D64">
              <w:rPr>
                <w:rFonts w:ascii="Times New Roman" w:eastAsia="Times New Roman" w:hAnsi="Times New Roman" w:cs="Times New Roman"/>
                <w:sz w:val="24"/>
                <w:szCs w:val="24"/>
              </w:rPr>
              <w:t> </w:t>
            </w:r>
            <w:r w:rsidR="00EB3FEE">
              <w:rPr>
                <w:rFonts w:ascii="Times New Roman" w:eastAsia="Times New Roman" w:hAnsi="Times New Roman" w:cs="Times New Roman"/>
                <w:sz w:val="24"/>
                <w:szCs w:val="24"/>
              </w:rPr>
              <w:t>gadam</w:t>
            </w:r>
          </w:p>
        </w:tc>
        <w:tc>
          <w:tcPr>
            <w:tcW w:w="5805" w:type="dxa"/>
          </w:tcPr>
          <w:p w14:paraId="025F12C8" w14:textId="4E369C84" w:rsidR="003C0C84" w:rsidRPr="003C0C84" w:rsidRDefault="00FD7301" w:rsidP="00B139B6">
            <w:pPr>
              <w:pStyle w:val="ListParagraph"/>
              <w:numPr>
                <w:ilvl w:val="0"/>
                <w:numId w:val="34"/>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00720DE1" w:rsidRPr="00720DE1">
              <w:rPr>
                <w:rFonts w:ascii="Times New Roman" w:eastAsia="Times New Roman" w:hAnsi="Times New Roman" w:cs="Times New Roman"/>
                <w:bCs/>
                <w:sz w:val="24"/>
                <w:szCs w:val="24"/>
              </w:rPr>
              <w:t>darbavietu īpatsvars, kurās vidējais darba bruto ienākumu apmērs ir mazāks par valstī noteikto minimālo algu</w:t>
            </w:r>
            <w:r>
              <w:rPr>
                <w:rFonts w:ascii="Times New Roman" w:eastAsia="Times New Roman" w:hAnsi="Times New Roman" w:cs="Times New Roman"/>
                <w:bCs/>
                <w:sz w:val="24"/>
                <w:szCs w:val="24"/>
              </w:rPr>
              <w:t>, ir</w:t>
            </w:r>
            <w:r w:rsidR="00720DE1">
              <w:rPr>
                <w:rFonts w:ascii="Times New Roman" w:eastAsia="Times New Roman" w:hAnsi="Times New Roman" w:cs="Times New Roman"/>
                <w:bCs/>
                <w:sz w:val="24"/>
                <w:szCs w:val="24"/>
              </w:rPr>
              <w:t xml:space="preserve"> samazinājies</w:t>
            </w:r>
            <w:r w:rsidR="00720DE1" w:rsidRPr="00720DE1">
              <w:rPr>
                <w:rFonts w:ascii="Times New Roman" w:eastAsia="Times New Roman" w:hAnsi="Times New Roman" w:cs="Times New Roman"/>
                <w:bCs/>
                <w:sz w:val="24"/>
                <w:szCs w:val="24"/>
              </w:rPr>
              <w:t xml:space="preserve"> par </w:t>
            </w:r>
            <w:r>
              <w:rPr>
                <w:rFonts w:ascii="Times New Roman" w:eastAsia="Times New Roman" w:hAnsi="Times New Roman" w:cs="Times New Roman"/>
                <w:bCs/>
                <w:sz w:val="24"/>
                <w:szCs w:val="24"/>
              </w:rPr>
              <w:t xml:space="preserve">sešiem </w:t>
            </w:r>
            <w:r w:rsidR="00BE61F2">
              <w:rPr>
                <w:rFonts w:ascii="Times New Roman" w:eastAsia="Times New Roman" w:hAnsi="Times New Roman" w:cs="Times New Roman"/>
                <w:bCs/>
                <w:sz w:val="24"/>
                <w:szCs w:val="24"/>
              </w:rPr>
              <w:t>procentpunktiem</w:t>
            </w:r>
          </w:p>
          <w:p w14:paraId="4920168E" w14:textId="60E4D225" w:rsidR="003C0C84" w:rsidRPr="003C0C84" w:rsidRDefault="00FD7301" w:rsidP="00B139B6">
            <w:pPr>
              <w:pStyle w:val="ListParagraph"/>
              <w:numPr>
                <w:ilvl w:val="0"/>
                <w:numId w:val="34"/>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003C0C84" w:rsidRPr="003C0C84">
              <w:rPr>
                <w:rFonts w:ascii="Times New Roman" w:eastAsia="Times New Roman" w:hAnsi="Times New Roman" w:cs="Times New Roman"/>
                <w:bCs/>
                <w:sz w:val="24"/>
                <w:szCs w:val="24"/>
              </w:rPr>
              <w:t>darbavietu īpatsvars, kurās vidējie darba bruto ienākumi ir vienādi ar valstī noteikto minimālo darba algu</w:t>
            </w:r>
            <w:r>
              <w:rPr>
                <w:rFonts w:ascii="Times New Roman" w:eastAsia="Times New Roman" w:hAnsi="Times New Roman" w:cs="Times New Roman"/>
                <w:bCs/>
                <w:sz w:val="24"/>
                <w:szCs w:val="24"/>
              </w:rPr>
              <w:t>,</w:t>
            </w:r>
            <w:r w:rsidR="003C0C84">
              <w:rPr>
                <w:rFonts w:ascii="Times New Roman" w:eastAsia="Times New Roman" w:hAnsi="Times New Roman" w:cs="Times New Roman"/>
                <w:bCs/>
                <w:sz w:val="24"/>
                <w:szCs w:val="24"/>
              </w:rPr>
              <w:t xml:space="preserve"> </w:t>
            </w:r>
            <w:r w:rsidR="003C0C84" w:rsidRPr="003C0C84">
              <w:rPr>
                <w:rFonts w:ascii="Times New Roman" w:eastAsia="Times New Roman" w:hAnsi="Times New Roman" w:cs="Times New Roman"/>
                <w:bCs/>
                <w:sz w:val="24"/>
                <w:szCs w:val="24"/>
              </w:rPr>
              <w:t xml:space="preserve">ir pieaudzis par </w:t>
            </w:r>
            <w:r>
              <w:rPr>
                <w:rFonts w:ascii="Times New Roman" w:eastAsia="Times New Roman" w:hAnsi="Times New Roman" w:cs="Times New Roman"/>
                <w:bCs/>
                <w:sz w:val="24"/>
                <w:szCs w:val="24"/>
              </w:rPr>
              <w:t>četriem</w:t>
            </w:r>
            <w:r w:rsidR="003C0C84" w:rsidRPr="003C0C84">
              <w:rPr>
                <w:rFonts w:ascii="Times New Roman" w:eastAsia="Times New Roman" w:hAnsi="Times New Roman" w:cs="Times New Roman"/>
                <w:bCs/>
                <w:sz w:val="24"/>
                <w:szCs w:val="24"/>
              </w:rPr>
              <w:t xml:space="preserve"> procentpunkt</w:t>
            </w:r>
            <w:r w:rsidR="003C0C84">
              <w:rPr>
                <w:rFonts w:ascii="Times New Roman" w:eastAsia="Times New Roman" w:hAnsi="Times New Roman" w:cs="Times New Roman"/>
                <w:bCs/>
                <w:sz w:val="24"/>
                <w:szCs w:val="24"/>
              </w:rPr>
              <w:t>iem</w:t>
            </w:r>
          </w:p>
          <w:p w14:paraId="0D1D3BA9" w14:textId="27A4C417" w:rsidR="003C0C84" w:rsidRPr="00C6069D" w:rsidRDefault="00FD7301" w:rsidP="00B139B6">
            <w:pPr>
              <w:pStyle w:val="ListParagraph"/>
              <w:numPr>
                <w:ilvl w:val="0"/>
                <w:numId w:val="34"/>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00BE61F2">
              <w:rPr>
                <w:rFonts w:ascii="Times New Roman" w:eastAsia="Times New Roman" w:hAnsi="Times New Roman" w:cs="Times New Roman"/>
                <w:bCs/>
                <w:sz w:val="24"/>
                <w:szCs w:val="24"/>
              </w:rPr>
              <w:t>darbavietu īpatsvars, kurā vidēj</w:t>
            </w:r>
            <w:r>
              <w:rPr>
                <w:rFonts w:ascii="Times New Roman" w:eastAsia="Times New Roman" w:hAnsi="Times New Roman" w:cs="Times New Roman"/>
                <w:bCs/>
                <w:sz w:val="24"/>
                <w:szCs w:val="24"/>
              </w:rPr>
              <w:t>ais</w:t>
            </w:r>
            <w:r w:rsidR="00BE61F2">
              <w:rPr>
                <w:rFonts w:ascii="Times New Roman" w:eastAsia="Times New Roman" w:hAnsi="Times New Roman" w:cs="Times New Roman"/>
                <w:bCs/>
                <w:sz w:val="24"/>
                <w:szCs w:val="24"/>
              </w:rPr>
              <w:t xml:space="preserve"> darba bruto ienākumu apmērs ir no valstī noteiktās minimālās darba algas līdz 1000 </w:t>
            </w:r>
            <w:proofErr w:type="spellStart"/>
            <w:r w:rsidR="00BE61F2" w:rsidRPr="00EA0EA4">
              <w:rPr>
                <w:rFonts w:ascii="Times New Roman" w:eastAsia="Times New Roman" w:hAnsi="Times New Roman" w:cs="Times New Roman"/>
                <w:bCs/>
                <w:i/>
                <w:iCs/>
                <w:sz w:val="24"/>
                <w:szCs w:val="24"/>
              </w:rPr>
              <w:t>euro</w:t>
            </w:r>
            <w:proofErr w:type="spellEnd"/>
            <w:r w:rsidRPr="00B139B6">
              <w:rPr>
                <w:rFonts w:ascii="Times New Roman" w:eastAsia="Times New Roman" w:hAnsi="Times New Roman" w:cs="Times New Roman"/>
                <w:bCs/>
                <w:iCs/>
                <w:sz w:val="24"/>
                <w:szCs w:val="24"/>
              </w:rPr>
              <w:t>,</w:t>
            </w:r>
            <w:r w:rsidR="00BE61F2">
              <w:rPr>
                <w:rFonts w:ascii="Times New Roman" w:eastAsia="Times New Roman" w:hAnsi="Times New Roman" w:cs="Times New Roman"/>
                <w:bCs/>
                <w:i/>
                <w:iCs/>
                <w:sz w:val="24"/>
                <w:szCs w:val="24"/>
              </w:rPr>
              <w:t xml:space="preserve"> </w:t>
            </w:r>
            <w:r w:rsidR="00BE61F2" w:rsidRPr="00C6069D">
              <w:rPr>
                <w:rFonts w:ascii="Times New Roman" w:eastAsia="Times New Roman" w:hAnsi="Times New Roman" w:cs="Times New Roman"/>
                <w:bCs/>
                <w:sz w:val="24"/>
                <w:szCs w:val="24"/>
              </w:rPr>
              <w:t xml:space="preserve">ir samazinājies par </w:t>
            </w:r>
            <w:r>
              <w:rPr>
                <w:rFonts w:ascii="Times New Roman" w:eastAsia="Times New Roman" w:hAnsi="Times New Roman" w:cs="Times New Roman"/>
                <w:bCs/>
                <w:sz w:val="24"/>
                <w:szCs w:val="24"/>
              </w:rPr>
              <w:t xml:space="preserve">septiņiem </w:t>
            </w:r>
            <w:r w:rsidR="00C6069D" w:rsidRPr="00C6069D">
              <w:rPr>
                <w:rFonts w:ascii="Times New Roman" w:eastAsia="Times New Roman" w:hAnsi="Times New Roman" w:cs="Times New Roman"/>
                <w:bCs/>
                <w:sz w:val="24"/>
                <w:szCs w:val="24"/>
              </w:rPr>
              <w:t>procentpunktiem</w:t>
            </w:r>
          </w:p>
          <w:p w14:paraId="25710D25" w14:textId="2EB6A8E3" w:rsidR="00720DE1" w:rsidRPr="00C6069D" w:rsidRDefault="00FD7301" w:rsidP="00B139B6">
            <w:pPr>
              <w:pStyle w:val="ListParagraph"/>
              <w:numPr>
                <w:ilvl w:val="0"/>
                <w:numId w:val="34"/>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00BE61F2" w:rsidRPr="00C6069D">
              <w:rPr>
                <w:rFonts w:ascii="Times New Roman" w:eastAsia="Times New Roman" w:hAnsi="Times New Roman" w:cs="Times New Roman"/>
                <w:bCs/>
                <w:sz w:val="24"/>
                <w:szCs w:val="24"/>
              </w:rPr>
              <w:t xml:space="preserve">darbavietu īpatsvars, kurās vidējais darba bruto ienākumu apmērs ir virs 1000 </w:t>
            </w:r>
            <w:proofErr w:type="spellStart"/>
            <w:r w:rsidR="00BE61F2" w:rsidRPr="00C6069D">
              <w:rPr>
                <w:rFonts w:ascii="Times New Roman" w:eastAsia="Times New Roman" w:hAnsi="Times New Roman" w:cs="Times New Roman"/>
                <w:bCs/>
                <w:i/>
                <w:iCs/>
                <w:sz w:val="24"/>
                <w:szCs w:val="24"/>
              </w:rPr>
              <w:t>euro</w:t>
            </w:r>
            <w:proofErr w:type="spellEnd"/>
            <w:r w:rsidR="00C6069D">
              <w:rPr>
                <w:rFonts w:ascii="Times New Roman" w:eastAsia="Times New Roman" w:hAnsi="Times New Roman" w:cs="Times New Roman"/>
                <w:bCs/>
                <w:i/>
                <w:iCs/>
                <w:sz w:val="24"/>
                <w:szCs w:val="24"/>
              </w:rPr>
              <w:t>,</w:t>
            </w:r>
            <w:r w:rsidR="00BE61F2" w:rsidRPr="00C6069D">
              <w:rPr>
                <w:rFonts w:ascii="Times New Roman" w:eastAsia="Times New Roman" w:hAnsi="Times New Roman" w:cs="Times New Roman"/>
                <w:bCs/>
                <w:sz w:val="24"/>
                <w:szCs w:val="24"/>
              </w:rPr>
              <w:t xml:space="preserve"> ir p</w:t>
            </w:r>
            <w:r>
              <w:rPr>
                <w:rFonts w:ascii="Times New Roman" w:eastAsia="Times New Roman" w:hAnsi="Times New Roman" w:cs="Times New Roman"/>
                <w:bCs/>
                <w:sz w:val="24"/>
                <w:szCs w:val="24"/>
              </w:rPr>
              <w:t>alielinājies</w:t>
            </w:r>
            <w:r w:rsidR="00BE61F2" w:rsidRPr="00C6069D">
              <w:rPr>
                <w:rFonts w:ascii="Times New Roman" w:eastAsia="Times New Roman" w:hAnsi="Times New Roman" w:cs="Times New Roman"/>
                <w:bCs/>
                <w:sz w:val="24"/>
                <w:szCs w:val="24"/>
              </w:rPr>
              <w:t xml:space="preserve"> par 11 procentpunktiem</w:t>
            </w:r>
          </w:p>
        </w:tc>
      </w:tr>
      <w:tr w:rsidR="00E932C0" w14:paraId="0B148747" w14:textId="77777777" w:rsidTr="00827749">
        <w:trPr>
          <w:jc w:val="center"/>
        </w:trPr>
        <w:tc>
          <w:tcPr>
            <w:tcW w:w="3256" w:type="dxa"/>
          </w:tcPr>
          <w:p w14:paraId="0E1F216F" w14:textId="2190BE2A" w:rsidR="00E932C0" w:rsidRPr="00EB3FEE" w:rsidRDefault="00E932C0" w:rsidP="00904582">
            <w:pPr>
              <w:tabs>
                <w:tab w:val="left" w:pos="1134"/>
              </w:tabs>
              <w:spacing w:after="120"/>
              <w:jc w:val="both"/>
              <w:rPr>
                <w:rFonts w:ascii="Times New Roman" w:eastAsia="Times New Roman" w:hAnsi="Times New Roman" w:cs="Times New Roman"/>
                <w:sz w:val="24"/>
                <w:szCs w:val="24"/>
              </w:rPr>
            </w:pPr>
            <w:r w:rsidRPr="00EB3FEE">
              <w:rPr>
                <w:rFonts w:ascii="Times New Roman" w:eastAsia="Times New Roman" w:hAnsi="Times New Roman" w:cs="Times New Roman"/>
                <w:sz w:val="24"/>
                <w:szCs w:val="24"/>
              </w:rPr>
              <w:t>Darba devēju sadalījum</w:t>
            </w:r>
            <w:r w:rsidR="00EB3FEE" w:rsidRPr="00EB3FEE">
              <w:rPr>
                <w:rFonts w:ascii="Times New Roman" w:eastAsia="Times New Roman" w:hAnsi="Times New Roman" w:cs="Times New Roman"/>
                <w:sz w:val="24"/>
                <w:szCs w:val="24"/>
              </w:rPr>
              <w:t>a</w:t>
            </w:r>
            <w:r w:rsidRPr="00EB3FEE">
              <w:rPr>
                <w:rFonts w:ascii="Times New Roman" w:eastAsia="Times New Roman" w:hAnsi="Times New Roman" w:cs="Times New Roman"/>
                <w:sz w:val="24"/>
                <w:szCs w:val="24"/>
              </w:rPr>
              <w:t xml:space="preserve"> pēc vidējiem aprēķinātajiem mēneša darba bruto ienākumiem</w:t>
            </w:r>
            <w:r w:rsidR="00EB3FEE" w:rsidRPr="00EB3FEE">
              <w:rPr>
                <w:rFonts w:ascii="Times New Roman" w:eastAsia="Times New Roman" w:hAnsi="Times New Roman" w:cs="Times New Roman"/>
                <w:sz w:val="24"/>
                <w:szCs w:val="24"/>
              </w:rPr>
              <w:t xml:space="preserve"> īpatsvara </w:t>
            </w:r>
            <w:r w:rsidR="00FD7301">
              <w:rPr>
                <w:rFonts w:ascii="Times New Roman" w:eastAsia="Times New Roman" w:hAnsi="Times New Roman" w:cs="Times New Roman"/>
                <w:sz w:val="24"/>
                <w:szCs w:val="24"/>
              </w:rPr>
              <w:t>pār</w:t>
            </w:r>
            <w:r w:rsidR="00EB3FEE" w:rsidRPr="00EB3FEE">
              <w:rPr>
                <w:rFonts w:ascii="Times New Roman" w:eastAsia="Times New Roman" w:hAnsi="Times New Roman" w:cs="Times New Roman"/>
                <w:sz w:val="24"/>
                <w:szCs w:val="24"/>
              </w:rPr>
              <w:t>maiņas augļkopības un dārzeņkopības nozarē no 2018.</w:t>
            </w:r>
            <w:r w:rsidR="00FD7301">
              <w:rPr>
                <w:rFonts w:ascii="Times New Roman" w:eastAsia="Times New Roman" w:hAnsi="Times New Roman" w:cs="Times New Roman"/>
                <w:sz w:val="24"/>
                <w:szCs w:val="24"/>
              </w:rPr>
              <w:t> </w:t>
            </w:r>
            <w:r w:rsidR="00EB3FEE" w:rsidRPr="00EB3FEE">
              <w:rPr>
                <w:rFonts w:ascii="Times New Roman" w:eastAsia="Times New Roman" w:hAnsi="Times New Roman" w:cs="Times New Roman"/>
                <w:sz w:val="24"/>
                <w:szCs w:val="24"/>
              </w:rPr>
              <w:t>līdz 2022.</w:t>
            </w:r>
            <w:r w:rsidR="00FD7301">
              <w:rPr>
                <w:rFonts w:ascii="Times New Roman" w:eastAsia="Times New Roman" w:hAnsi="Times New Roman" w:cs="Times New Roman"/>
                <w:sz w:val="24"/>
                <w:szCs w:val="24"/>
              </w:rPr>
              <w:t xml:space="preserve"> </w:t>
            </w:r>
            <w:r w:rsidR="00EB3FEE" w:rsidRPr="00EB3FEE">
              <w:rPr>
                <w:rFonts w:ascii="Times New Roman" w:eastAsia="Times New Roman" w:hAnsi="Times New Roman" w:cs="Times New Roman"/>
                <w:sz w:val="24"/>
                <w:szCs w:val="24"/>
              </w:rPr>
              <w:t>gadam</w:t>
            </w:r>
          </w:p>
        </w:tc>
        <w:tc>
          <w:tcPr>
            <w:tcW w:w="5805" w:type="dxa"/>
          </w:tcPr>
          <w:p w14:paraId="189BA696" w14:textId="425DE691" w:rsidR="009E4FE7" w:rsidRDefault="00FD7301" w:rsidP="00B139B6">
            <w:pPr>
              <w:pStyle w:val="ListParagraph"/>
              <w:numPr>
                <w:ilvl w:val="0"/>
                <w:numId w:val="34"/>
              </w:num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9E4FE7" w:rsidRPr="009E4FE7">
              <w:rPr>
                <w:rFonts w:ascii="Times New Roman" w:eastAsia="Times New Roman" w:hAnsi="Times New Roman" w:cs="Times New Roman"/>
                <w:sz w:val="24"/>
                <w:szCs w:val="24"/>
              </w:rPr>
              <w:t xml:space="preserve">darba devēju īpatsvars, kuri </w:t>
            </w:r>
            <w:r w:rsidRPr="009E4FE7">
              <w:rPr>
                <w:rFonts w:ascii="Times New Roman" w:eastAsia="Times New Roman" w:hAnsi="Times New Roman" w:cs="Times New Roman"/>
                <w:sz w:val="24"/>
                <w:szCs w:val="24"/>
              </w:rPr>
              <w:t>aprēķina mazākus</w:t>
            </w:r>
            <w:r w:rsidRPr="009E4FE7" w:rsidDel="00FD7301">
              <w:rPr>
                <w:rFonts w:ascii="Times New Roman" w:eastAsia="Times New Roman" w:hAnsi="Times New Roman" w:cs="Times New Roman"/>
                <w:sz w:val="24"/>
                <w:szCs w:val="24"/>
              </w:rPr>
              <w:t xml:space="preserve"> </w:t>
            </w:r>
            <w:r w:rsidR="009E4FE7" w:rsidRPr="009E4FE7">
              <w:rPr>
                <w:rFonts w:ascii="Times New Roman" w:eastAsia="Times New Roman" w:hAnsi="Times New Roman" w:cs="Times New Roman"/>
                <w:sz w:val="24"/>
                <w:szCs w:val="24"/>
              </w:rPr>
              <w:t xml:space="preserve">darba bruto ienākumus </w:t>
            </w:r>
            <w:r>
              <w:rPr>
                <w:rFonts w:ascii="Times New Roman" w:eastAsia="Times New Roman" w:hAnsi="Times New Roman" w:cs="Times New Roman"/>
                <w:sz w:val="24"/>
                <w:szCs w:val="24"/>
              </w:rPr>
              <w:t>nekā</w:t>
            </w:r>
            <w:r w:rsidR="009E4FE7" w:rsidRPr="009E4FE7">
              <w:rPr>
                <w:rFonts w:ascii="Times New Roman" w:eastAsia="Times New Roman" w:hAnsi="Times New Roman" w:cs="Times New Roman"/>
                <w:sz w:val="24"/>
                <w:szCs w:val="24"/>
              </w:rPr>
              <w:t xml:space="preserve"> valstī noteikt</w:t>
            </w:r>
            <w:r>
              <w:rPr>
                <w:rFonts w:ascii="Times New Roman" w:eastAsia="Times New Roman" w:hAnsi="Times New Roman" w:cs="Times New Roman"/>
                <w:sz w:val="24"/>
                <w:szCs w:val="24"/>
              </w:rPr>
              <w:t xml:space="preserve">ā </w:t>
            </w:r>
            <w:r w:rsidR="009E4FE7" w:rsidRPr="009E4FE7">
              <w:rPr>
                <w:rFonts w:ascii="Times New Roman" w:eastAsia="Times New Roman" w:hAnsi="Times New Roman" w:cs="Times New Roman"/>
                <w:sz w:val="24"/>
                <w:szCs w:val="24"/>
              </w:rPr>
              <w:t>minimāl</w:t>
            </w:r>
            <w:r>
              <w:rPr>
                <w:rFonts w:ascii="Times New Roman" w:eastAsia="Times New Roman" w:hAnsi="Times New Roman" w:cs="Times New Roman"/>
                <w:sz w:val="24"/>
                <w:szCs w:val="24"/>
              </w:rPr>
              <w:t>ā</w:t>
            </w:r>
            <w:r w:rsidR="009E4FE7" w:rsidRPr="009E4FE7">
              <w:rPr>
                <w:rFonts w:ascii="Times New Roman" w:eastAsia="Times New Roman" w:hAnsi="Times New Roman" w:cs="Times New Roman"/>
                <w:sz w:val="24"/>
                <w:szCs w:val="24"/>
              </w:rPr>
              <w:t xml:space="preserve"> darba alg</w:t>
            </w:r>
            <w:r>
              <w:rPr>
                <w:rFonts w:ascii="Times New Roman" w:eastAsia="Times New Roman" w:hAnsi="Times New Roman" w:cs="Times New Roman"/>
                <w:sz w:val="24"/>
                <w:szCs w:val="24"/>
              </w:rPr>
              <w:t>a</w:t>
            </w:r>
            <w:r w:rsidR="009E4FE7" w:rsidRPr="009E4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ir</w:t>
            </w:r>
            <w:r w:rsidR="00071502">
              <w:rPr>
                <w:rFonts w:ascii="Times New Roman" w:eastAsia="Times New Roman" w:hAnsi="Times New Roman" w:cs="Times New Roman"/>
                <w:sz w:val="24"/>
                <w:szCs w:val="24"/>
              </w:rPr>
              <w:t xml:space="preserve"> samazinājies </w:t>
            </w:r>
            <w:r w:rsidR="009E4FE7" w:rsidRPr="009E4FE7">
              <w:rPr>
                <w:rFonts w:ascii="Times New Roman" w:eastAsia="Times New Roman" w:hAnsi="Times New Roman" w:cs="Times New Roman"/>
                <w:sz w:val="24"/>
                <w:szCs w:val="24"/>
              </w:rPr>
              <w:t>par 15</w:t>
            </w:r>
            <w:r>
              <w:rPr>
                <w:rFonts w:ascii="Times New Roman" w:eastAsia="Times New Roman" w:hAnsi="Times New Roman" w:cs="Times New Roman"/>
                <w:sz w:val="24"/>
                <w:szCs w:val="24"/>
              </w:rPr>
              <w:t> </w:t>
            </w:r>
            <w:r w:rsidR="009E4FE7" w:rsidRPr="009E4FE7">
              <w:rPr>
                <w:rFonts w:ascii="Times New Roman" w:eastAsia="Times New Roman" w:hAnsi="Times New Roman" w:cs="Times New Roman"/>
                <w:sz w:val="24"/>
                <w:szCs w:val="24"/>
              </w:rPr>
              <w:t>procentpunktiem</w:t>
            </w:r>
          </w:p>
          <w:p w14:paraId="741AB56A" w14:textId="79512E44" w:rsidR="002F0A8A" w:rsidRPr="002F0A8A" w:rsidRDefault="00FD7301" w:rsidP="00B139B6">
            <w:pPr>
              <w:pStyle w:val="ListParagraph"/>
              <w:numPr>
                <w:ilvl w:val="0"/>
                <w:numId w:val="34"/>
              </w:num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to </w:t>
            </w:r>
            <w:r w:rsidR="002F0A8A" w:rsidRPr="002F0A8A">
              <w:rPr>
                <w:rFonts w:ascii="Times New Roman" w:eastAsia="Times New Roman" w:hAnsi="Times New Roman" w:cs="Times New Roman"/>
                <w:bCs/>
                <w:sz w:val="24"/>
                <w:szCs w:val="24"/>
              </w:rPr>
              <w:t xml:space="preserve">darba devēju īpatsvars, kuri aprēķina </w:t>
            </w:r>
            <w:r w:rsidRPr="002F0A8A">
              <w:rPr>
                <w:rFonts w:ascii="Times New Roman" w:eastAsia="Times New Roman" w:hAnsi="Times New Roman" w:cs="Times New Roman"/>
                <w:bCs/>
                <w:sz w:val="24"/>
                <w:szCs w:val="24"/>
              </w:rPr>
              <w:t xml:space="preserve">ar valstī noteikto minimālo darba algu vienādus </w:t>
            </w:r>
            <w:r w:rsidR="002F0A8A" w:rsidRPr="002F0A8A">
              <w:rPr>
                <w:rFonts w:ascii="Times New Roman" w:eastAsia="Times New Roman" w:hAnsi="Times New Roman" w:cs="Times New Roman"/>
                <w:bCs/>
                <w:sz w:val="24"/>
                <w:szCs w:val="24"/>
              </w:rPr>
              <w:t>darba bruto ienākumus</w:t>
            </w:r>
            <w:r w:rsidR="002F0A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ir palielinājies </w:t>
            </w:r>
            <w:r w:rsidR="002F0A8A">
              <w:rPr>
                <w:rFonts w:ascii="Times New Roman" w:eastAsia="Times New Roman" w:hAnsi="Times New Roman" w:cs="Times New Roman"/>
                <w:bCs/>
                <w:sz w:val="24"/>
                <w:szCs w:val="24"/>
              </w:rPr>
              <w:t xml:space="preserve">par </w:t>
            </w:r>
            <w:r>
              <w:rPr>
                <w:rFonts w:ascii="Times New Roman" w:eastAsia="Times New Roman" w:hAnsi="Times New Roman" w:cs="Times New Roman"/>
                <w:bCs/>
                <w:sz w:val="24"/>
                <w:szCs w:val="24"/>
              </w:rPr>
              <w:t>sešiem</w:t>
            </w:r>
            <w:r w:rsidR="002F0A8A" w:rsidRPr="002F0A8A">
              <w:rPr>
                <w:rFonts w:ascii="Times New Roman" w:eastAsia="Times New Roman" w:hAnsi="Times New Roman" w:cs="Times New Roman"/>
                <w:bCs/>
                <w:sz w:val="24"/>
                <w:szCs w:val="24"/>
              </w:rPr>
              <w:t xml:space="preserve"> procentpunkti</w:t>
            </w:r>
            <w:r w:rsidR="0036581E">
              <w:rPr>
                <w:rFonts w:ascii="Times New Roman" w:eastAsia="Times New Roman" w:hAnsi="Times New Roman" w:cs="Times New Roman"/>
                <w:bCs/>
                <w:sz w:val="24"/>
                <w:szCs w:val="24"/>
              </w:rPr>
              <w:t>em</w:t>
            </w:r>
          </w:p>
          <w:p w14:paraId="0FC1ECB4" w14:textId="2BE23098" w:rsidR="00D00883" w:rsidRPr="00D00883" w:rsidRDefault="00FD7301" w:rsidP="00B139B6">
            <w:pPr>
              <w:pStyle w:val="ListParagraph"/>
              <w:numPr>
                <w:ilvl w:val="0"/>
                <w:numId w:val="34"/>
              </w:num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to </w:t>
            </w:r>
            <w:r w:rsidR="00E57610">
              <w:rPr>
                <w:rFonts w:ascii="Times New Roman" w:eastAsia="Times New Roman" w:hAnsi="Times New Roman" w:cs="Times New Roman"/>
                <w:bCs/>
                <w:sz w:val="24"/>
                <w:szCs w:val="24"/>
              </w:rPr>
              <w:t xml:space="preserve">darba devēju īpatsvars, </w:t>
            </w:r>
            <w:r w:rsidR="00E57610" w:rsidRPr="00713CFA">
              <w:rPr>
                <w:rFonts w:ascii="Times New Roman" w:eastAsia="Times New Roman" w:hAnsi="Times New Roman" w:cs="Times New Roman"/>
                <w:bCs/>
                <w:sz w:val="24"/>
                <w:szCs w:val="24"/>
              </w:rPr>
              <w:t xml:space="preserve">kuri aprēķina darba bruto ienākumus no valstī noteiktās minimālās darba algas līdz 1000 </w:t>
            </w:r>
            <w:proofErr w:type="spellStart"/>
            <w:r w:rsidR="00E57610" w:rsidRPr="00713CFA">
              <w:rPr>
                <w:rFonts w:ascii="Times New Roman" w:eastAsia="Times New Roman" w:hAnsi="Times New Roman" w:cs="Times New Roman"/>
                <w:bCs/>
                <w:i/>
                <w:iCs/>
                <w:sz w:val="24"/>
                <w:szCs w:val="24"/>
              </w:rPr>
              <w:t>euro</w:t>
            </w:r>
            <w:proofErr w:type="spellEnd"/>
            <w:r w:rsidR="00E5761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ir palielinājies</w:t>
            </w:r>
            <w:r w:rsidR="00E57610">
              <w:rPr>
                <w:rFonts w:ascii="Times New Roman" w:eastAsia="Times New Roman" w:hAnsi="Times New Roman" w:cs="Times New Roman"/>
                <w:bCs/>
                <w:sz w:val="24"/>
                <w:szCs w:val="24"/>
              </w:rPr>
              <w:t xml:space="preserve"> par </w:t>
            </w:r>
            <w:r>
              <w:rPr>
                <w:rFonts w:ascii="Times New Roman" w:eastAsia="Times New Roman" w:hAnsi="Times New Roman" w:cs="Times New Roman"/>
                <w:bCs/>
                <w:sz w:val="24"/>
                <w:szCs w:val="24"/>
              </w:rPr>
              <w:t xml:space="preserve">četriem </w:t>
            </w:r>
            <w:r w:rsidR="00E57610">
              <w:rPr>
                <w:rFonts w:ascii="Times New Roman" w:eastAsia="Times New Roman" w:hAnsi="Times New Roman" w:cs="Times New Roman"/>
                <w:bCs/>
                <w:sz w:val="24"/>
                <w:szCs w:val="24"/>
              </w:rPr>
              <w:t>procentpunktiem;</w:t>
            </w:r>
          </w:p>
          <w:p w14:paraId="070FFAC8" w14:textId="1A0D70CC" w:rsidR="00E932C0" w:rsidRPr="00D00883" w:rsidRDefault="00FD7301" w:rsidP="00B139B6">
            <w:pPr>
              <w:pStyle w:val="ListParagraph"/>
              <w:numPr>
                <w:ilvl w:val="0"/>
                <w:numId w:val="34"/>
              </w:num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to </w:t>
            </w:r>
            <w:r w:rsidR="00D00883" w:rsidRPr="00D00883">
              <w:rPr>
                <w:rFonts w:ascii="Times New Roman" w:eastAsia="Times New Roman" w:hAnsi="Times New Roman" w:cs="Times New Roman"/>
                <w:bCs/>
                <w:sz w:val="24"/>
                <w:szCs w:val="24"/>
              </w:rPr>
              <w:t xml:space="preserve">darba devēju īpatsvars, kuri aprēķina darba bruto ienākumus virs 1000 </w:t>
            </w:r>
            <w:proofErr w:type="spellStart"/>
            <w:r w:rsidR="00D00883" w:rsidRPr="00D00883">
              <w:rPr>
                <w:rFonts w:ascii="Times New Roman" w:eastAsia="Times New Roman" w:hAnsi="Times New Roman" w:cs="Times New Roman"/>
                <w:bCs/>
                <w:i/>
                <w:iCs/>
                <w:sz w:val="24"/>
                <w:szCs w:val="24"/>
              </w:rPr>
              <w:t>euro</w:t>
            </w:r>
            <w:proofErr w:type="spellEnd"/>
            <w:r w:rsidRPr="00B139B6">
              <w:rPr>
                <w:rFonts w:ascii="Times New Roman" w:eastAsia="Times New Roman" w:hAnsi="Times New Roman" w:cs="Times New Roman"/>
                <w:bCs/>
                <w:iCs/>
                <w:sz w:val="24"/>
                <w:szCs w:val="24"/>
              </w:rPr>
              <w:t>,</w:t>
            </w:r>
            <w:r w:rsidR="00D008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ir palielinājies</w:t>
            </w:r>
            <w:r w:rsidR="00D00883" w:rsidRPr="00850F0E">
              <w:rPr>
                <w:rFonts w:ascii="Times New Roman" w:eastAsia="Times New Roman" w:hAnsi="Times New Roman" w:cs="Times New Roman"/>
                <w:bCs/>
                <w:sz w:val="24"/>
                <w:szCs w:val="24"/>
              </w:rPr>
              <w:t xml:space="preserve"> par</w:t>
            </w:r>
            <w:r>
              <w:rPr>
                <w:rFonts w:ascii="Times New Roman" w:eastAsia="Times New Roman" w:hAnsi="Times New Roman" w:cs="Times New Roman"/>
                <w:bCs/>
                <w:sz w:val="24"/>
                <w:szCs w:val="24"/>
              </w:rPr>
              <w:t xml:space="preserve"> pieciem </w:t>
            </w:r>
            <w:r w:rsidR="00D00883" w:rsidRPr="00850F0E">
              <w:rPr>
                <w:rFonts w:ascii="Times New Roman" w:eastAsia="Times New Roman" w:hAnsi="Times New Roman" w:cs="Times New Roman"/>
                <w:bCs/>
                <w:sz w:val="24"/>
                <w:szCs w:val="24"/>
              </w:rPr>
              <w:t>procentpunktiem.</w:t>
            </w:r>
          </w:p>
        </w:tc>
      </w:tr>
      <w:tr w:rsidR="00904582" w:rsidRPr="003378FD" w14:paraId="073DF033" w14:textId="2EE17FD6" w:rsidTr="00827749">
        <w:trPr>
          <w:jc w:val="center"/>
        </w:trPr>
        <w:tc>
          <w:tcPr>
            <w:tcW w:w="9061" w:type="dxa"/>
            <w:gridSpan w:val="2"/>
          </w:tcPr>
          <w:p w14:paraId="1BF21075" w14:textId="380C8952" w:rsidR="00904582" w:rsidRPr="003378FD" w:rsidRDefault="00904582" w:rsidP="007C1FEA">
            <w:pPr>
              <w:tabs>
                <w:tab w:val="left" w:pos="1134"/>
              </w:tabs>
              <w:jc w:val="center"/>
              <w:rPr>
                <w:rFonts w:ascii="Times New Roman" w:eastAsia="Times New Roman" w:hAnsi="Times New Roman" w:cs="Times New Roman"/>
                <w:b/>
                <w:i/>
                <w:iCs/>
                <w:sz w:val="24"/>
                <w:szCs w:val="24"/>
              </w:rPr>
            </w:pPr>
            <w:r w:rsidRPr="003378FD">
              <w:rPr>
                <w:rFonts w:ascii="Times New Roman" w:eastAsia="Times New Roman" w:hAnsi="Times New Roman" w:cs="Times New Roman"/>
                <w:b/>
                <w:i/>
                <w:iCs/>
                <w:sz w:val="24"/>
                <w:szCs w:val="24"/>
              </w:rPr>
              <w:lastRenderedPageBreak/>
              <w:t>Izpildīts</w:t>
            </w:r>
            <w:r w:rsidR="00EF5E2C">
              <w:rPr>
                <w:rFonts w:ascii="Times New Roman" w:eastAsia="Times New Roman" w:hAnsi="Times New Roman" w:cs="Times New Roman"/>
                <w:b/>
                <w:i/>
                <w:iCs/>
                <w:sz w:val="24"/>
                <w:szCs w:val="24"/>
              </w:rPr>
              <w:t>.</w:t>
            </w:r>
          </w:p>
        </w:tc>
      </w:tr>
    </w:tbl>
    <w:p w14:paraId="7A99393E" w14:textId="46600D0A" w:rsidR="00FA7CC5" w:rsidRPr="008C0243" w:rsidRDefault="00FA7CC5" w:rsidP="00FA7CC5">
      <w:pPr>
        <w:pStyle w:val="ListParagraph"/>
        <w:tabs>
          <w:tab w:val="left" w:pos="1134"/>
        </w:tabs>
        <w:spacing w:before="120" w:after="120" w:line="240" w:lineRule="auto"/>
        <w:ind w:left="0" w:firstLine="709"/>
        <w:jc w:val="both"/>
        <w:rPr>
          <w:rFonts w:ascii="Times New Roman" w:eastAsia="Times New Roman" w:hAnsi="Times New Roman" w:cs="Times New Roman"/>
          <w:bCs/>
          <w:sz w:val="24"/>
          <w:szCs w:val="24"/>
        </w:rPr>
      </w:pPr>
      <w:r w:rsidRPr="00FA7CC5">
        <w:rPr>
          <w:rFonts w:ascii="Times New Roman" w:eastAsia="Times New Roman" w:hAnsi="Times New Roman" w:cs="Times New Roman"/>
          <w:b/>
          <w:bCs/>
          <w:sz w:val="24"/>
          <w:szCs w:val="24"/>
        </w:rPr>
        <w:t>Vērtējot samazinātās PVN likmes 5 % apmērā ieviešanas augļiem, ogām un dārzeņiem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r</w:t>
      </w:r>
      <w:r w:rsidRPr="008C0243">
        <w:rPr>
          <w:rFonts w:ascii="Times New Roman" w:eastAsia="Times New Roman" w:hAnsi="Times New Roman" w:cs="Times New Roman"/>
          <w:b/>
          <w:sz w:val="24"/>
          <w:szCs w:val="24"/>
        </w:rPr>
        <w:t xml:space="preserve">ezultatīvo rādītāju </w:t>
      </w:r>
      <w:r>
        <w:rPr>
          <w:rFonts w:ascii="Times New Roman" w:eastAsia="Times New Roman" w:hAnsi="Times New Roman" w:cs="Times New Roman"/>
          <w:b/>
          <w:sz w:val="24"/>
          <w:szCs w:val="24"/>
        </w:rPr>
        <w:t>izpildi secināms</w:t>
      </w:r>
      <w:r w:rsidRPr="008C0243">
        <w:rPr>
          <w:rFonts w:ascii="Times New Roman" w:eastAsia="Times New Roman" w:hAnsi="Times New Roman" w:cs="Times New Roman"/>
          <w:b/>
          <w:sz w:val="24"/>
          <w:szCs w:val="24"/>
        </w:rPr>
        <w:t>, ka no četriem rezultatīvajiem rādītājiem trīs rādītāji - ir izpildīti daļēji un viens ir izpildīts.</w:t>
      </w:r>
      <w:r>
        <w:rPr>
          <w:rFonts w:ascii="Times New Roman" w:eastAsia="Times New Roman" w:hAnsi="Times New Roman" w:cs="Times New Roman"/>
          <w:b/>
          <w:sz w:val="24"/>
          <w:szCs w:val="24"/>
        </w:rPr>
        <w:t xml:space="preserve"> </w:t>
      </w:r>
    </w:p>
    <w:p w14:paraId="5D7A8DE2" w14:textId="62B973EC" w:rsidR="00DE0F41" w:rsidRPr="00C47438" w:rsidRDefault="00DE0F41" w:rsidP="00F564C1">
      <w:pPr>
        <w:pStyle w:val="ListParagraph"/>
        <w:numPr>
          <w:ilvl w:val="0"/>
          <w:numId w:val="20"/>
        </w:numPr>
        <w:tabs>
          <w:tab w:val="left" w:pos="1134"/>
        </w:tabs>
        <w:spacing w:before="360" w:after="120" w:line="240" w:lineRule="auto"/>
        <w:ind w:left="0" w:firstLine="709"/>
        <w:contextualSpacing w:val="0"/>
        <w:jc w:val="both"/>
        <w:rPr>
          <w:rFonts w:ascii="Times New Roman" w:eastAsia="Times New Roman" w:hAnsi="Times New Roman" w:cs="Times New Roman"/>
          <w:b/>
          <w:sz w:val="28"/>
          <w:szCs w:val="28"/>
        </w:rPr>
      </w:pPr>
      <w:r w:rsidRPr="00C47438">
        <w:rPr>
          <w:rFonts w:ascii="Times New Roman" w:eastAsia="Times New Roman" w:hAnsi="Times New Roman" w:cs="Times New Roman"/>
          <w:b/>
          <w:sz w:val="28"/>
          <w:szCs w:val="28"/>
        </w:rPr>
        <w:t xml:space="preserve">Augļkopības </w:t>
      </w:r>
      <w:r w:rsidR="002A3BBE" w:rsidRPr="002A3BBE">
        <w:rPr>
          <w:rFonts w:ascii="Times New Roman" w:eastAsia="Times New Roman" w:hAnsi="Times New Roman" w:cs="Times New Roman"/>
          <w:b/>
          <w:sz w:val="28"/>
          <w:szCs w:val="28"/>
        </w:rPr>
        <w:t>un dārzeņkopības nozaru attīstības analīze</w:t>
      </w:r>
    </w:p>
    <w:p w14:paraId="034B0A05" w14:textId="67D5A6F2" w:rsidR="00DE0F41" w:rsidRPr="002C4C8C" w:rsidRDefault="00DE0F41" w:rsidP="002C4C8C">
      <w:pPr>
        <w:spacing w:after="120" w:line="240" w:lineRule="auto"/>
        <w:ind w:firstLine="709"/>
        <w:jc w:val="both"/>
        <w:rPr>
          <w:rFonts w:ascii="Times New Roman" w:hAnsi="Times New Roman" w:cs="Times New Roman"/>
          <w:sz w:val="24"/>
          <w:szCs w:val="24"/>
        </w:rPr>
      </w:pPr>
      <w:r w:rsidRPr="002C4C8C">
        <w:rPr>
          <w:rFonts w:ascii="Times New Roman" w:eastAsia="Times New Roman" w:hAnsi="Times New Roman" w:cs="Times New Roman"/>
          <w:sz w:val="24"/>
          <w:szCs w:val="24"/>
        </w:rPr>
        <w:t>Lai vispusīgāk novērtētu</w:t>
      </w:r>
      <w:r w:rsidR="003C004A">
        <w:rPr>
          <w:rFonts w:ascii="Times New Roman" w:eastAsia="Times New Roman" w:hAnsi="Times New Roman" w:cs="Times New Roman"/>
          <w:sz w:val="24"/>
          <w:szCs w:val="24"/>
        </w:rPr>
        <w:t xml:space="preserve"> e</w:t>
      </w:r>
      <w:r w:rsidR="003C004A" w:rsidRPr="002C4C8C">
        <w:rPr>
          <w:rFonts w:ascii="Times New Roman" w:eastAsia="Times New Roman" w:hAnsi="Times New Roman" w:cs="Times New Roman"/>
          <w:sz w:val="24"/>
          <w:szCs w:val="24"/>
        </w:rPr>
        <w:t>fektivitāti</w:t>
      </w:r>
      <w:r w:rsidRPr="002C4C8C">
        <w:rPr>
          <w:rFonts w:ascii="Times New Roman" w:eastAsia="Times New Roman" w:hAnsi="Times New Roman" w:cs="Times New Roman"/>
          <w:sz w:val="24"/>
          <w:szCs w:val="24"/>
        </w:rPr>
        <w:t xml:space="preserve"> </w:t>
      </w:r>
      <w:r w:rsidR="003C004A">
        <w:rPr>
          <w:rFonts w:ascii="Times New Roman" w:eastAsia="Times New Roman" w:hAnsi="Times New Roman" w:cs="Times New Roman"/>
          <w:sz w:val="24"/>
          <w:szCs w:val="24"/>
        </w:rPr>
        <w:t xml:space="preserve">no </w:t>
      </w:r>
      <w:r w:rsidRPr="002C4C8C">
        <w:rPr>
          <w:rFonts w:ascii="Times New Roman" w:eastAsia="Times New Roman" w:hAnsi="Times New Roman" w:cs="Times New Roman"/>
          <w:sz w:val="24"/>
          <w:szCs w:val="24"/>
        </w:rPr>
        <w:t xml:space="preserve">samazinātās </w:t>
      </w:r>
      <w:r w:rsidR="003C004A" w:rsidRPr="002C4C8C">
        <w:rPr>
          <w:rFonts w:ascii="Times New Roman" w:eastAsia="Times New Roman" w:hAnsi="Times New Roman" w:cs="Times New Roman"/>
          <w:sz w:val="24"/>
          <w:szCs w:val="24"/>
        </w:rPr>
        <w:t xml:space="preserve">PVN </w:t>
      </w:r>
      <w:r w:rsidRPr="002C4C8C">
        <w:rPr>
          <w:rFonts w:ascii="Times New Roman" w:eastAsia="Times New Roman" w:hAnsi="Times New Roman" w:cs="Times New Roman"/>
          <w:sz w:val="24"/>
          <w:szCs w:val="24"/>
        </w:rPr>
        <w:t>likmes 5</w:t>
      </w:r>
      <w:r w:rsidR="003C004A">
        <w:rPr>
          <w:rFonts w:ascii="Times New Roman" w:eastAsia="Times New Roman" w:hAnsi="Times New Roman" w:cs="Times New Roman"/>
          <w:sz w:val="24"/>
          <w:szCs w:val="24"/>
        </w:rPr>
        <w:t xml:space="preserve"> </w:t>
      </w:r>
      <w:r w:rsidRPr="002C4C8C">
        <w:rPr>
          <w:rFonts w:ascii="Times New Roman" w:eastAsia="Times New Roman" w:hAnsi="Times New Roman" w:cs="Times New Roman"/>
          <w:sz w:val="24"/>
          <w:szCs w:val="24"/>
        </w:rPr>
        <w:t xml:space="preserve">% apmērā ieviešanas augļiem, ogām un dārzeņiem, ir </w:t>
      </w:r>
      <w:r w:rsidRPr="005B6166">
        <w:rPr>
          <w:rFonts w:ascii="Times New Roman" w:eastAsia="Times New Roman" w:hAnsi="Times New Roman" w:cs="Times New Roman"/>
          <w:sz w:val="24"/>
          <w:szCs w:val="24"/>
        </w:rPr>
        <w:t>veikta augļkopības un dārzeņkopības nozares analīze</w:t>
      </w:r>
      <w:r w:rsidRPr="005B6166">
        <w:rPr>
          <w:rFonts w:ascii="Times New Roman" w:hAnsi="Times New Roman" w:cs="Times New Roman"/>
          <w:sz w:val="24"/>
          <w:szCs w:val="24"/>
        </w:rPr>
        <w:t>, novērtējot augļu, ogu un dārzeņu platību</w:t>
      </w:r>
      <w:r w:rsidR="00063376">
        <w:rPr>
          <w:rFonts w:ascii="Times New Roman" w:hAnsi="Times New Roman" w:cs="Times New Roman"/>
          <w:sz w:val="24"/>
          <w:szCs w:val="24"/>
        </w:rPr>
        <w:t xml:space="preserve"> </w:t>
      </w:r>
      <w:r w:rsidR="003C004A">
        <w:rPr>
          <w:rFonts w:ascii="Times New Roman" w:hAnsi="Times New Roman" w:cs="Times New Roman"/>
          <w:sz w:val="24"/>
          <w:szCs w:val="24"/>
        </w:rPr>
        <w:t>pār</w:t>
      </w:r>
      <w:r w:rsidR="00063376">
        <w:rPr>
          <w:rFonts w:ascii="Times New Roman" w:hAnsi="Times New Roman" w:cs="Times New Roman"/>
          <w:sz w:val="24"/>
          <w:szCs w:val="24"/>
        </w:rPr>
        <w:t>maiņas</w:t>
      </w:r>
      <w:r w:rsidRPr="005B6166">
        <w:rPr>
          <w:rFonts w:ascii="Times New Roman" w:hAnsi="Times New Roman" w:cs="Times New Roman"/>
          <w:sz w:val="24"/>
          <w:szCs w:val="24"/>
        </w:rPr>
        <w:t xml:space="preserve">, </w:t>
      </w:r>
      <w:r w:rsidR="003C004A">
        <w:rPr>
          <w:rFonts w:ascii="Times New Roman" w:hAnsi="Times New Roman" w:cs="Times New Roman"/>
          <w:sz w:val="24"/>
          <w:szCs w:val="24"/>
        </w:rPr>
        <w:t xml:space="preserve">kā arī </w:t>
      </w:r>
      <w:r w:rsidRPr="005B6166">
        <w:rPr>
          <w:rFonts w:ascii="Times New Roman" w:hAnsi="Times New Roman" w:cs="Times New Roman"/>
          <w:sz w:val="24"/>
          <w:szCs w:val="24"/>
        </w:rPr>
        <w:t xml:space="preserve">saražotās produkcijas </w:t>
      </w:r>
      <w:r w:rsidR="00C2106A" w:rsidRPr="005B6166">
        <w:rPr>
          <w:rFonts w:ascii="Times New Roman" w:hAnsi="Times New Roman" w:cs="Times New Roman"/>
          <w:sz w:val="24"/>
          <w:szCs w:val="24"/>
        </w:rPr>
        <w:t>izlaides</w:t>
      </w:r>
      <w:r w:rsidR="005B6166">
        <w:rPr>
          <w:rFonts w:ascii="Times New Roman" w:hAnsi="Times New Roman" w:cs="Times New Roman"/>
          <w:sz w:val="24"/>
          <w:szCs w:val="24"/>
        </w:rPr>
        <w:t xml:space="preserve"> vērtības</w:t>
      </w:r>
      <w:r w:rsidRPr="002C4C8C">
        <w:rPr>
          <w:rFonts w:ascii="Times New Roman" w:hAnsi="Times New Roman" w:cs="Times New Roman"/>
          <w:sz w:val="24"/>
          <w:szCs w:val="24"/>
        </w:rPr>
        <w:t xml:space="preserve">, eksporta un importa </w:t>
      </w:r>
      <w:r w:rsidR="005B6166">
        <w:rPr>
          <w:rFonts w:ascii="Times New Roman" w:hAnsi="Times New Roman" w:cs="Times New Roman"/>
          <w:sz w:val="24"/>
          <w:szCs w:val="24"/>
        </w:rPr>
        <w:t>izlaides</w:t>
      </w:r>
      <w:r w:rsidRPr="002C4C8C">
        <w:rPr>
          <w:rFonts w:ascii="Times New Roman" w:hAnsi="Times New Roman" w:cs="Times New Roman"/>
          <w:sz w:val="24"/>
          <w:szCs w:val="24"/>
        </w:rPr>
        <w:t xml:space="preserve"> </w:t>
      </w:r>
      <w:r w:rsidR="005B6166">
        <w:rPr>
          <w:rFonts w:ascii="Times New Roman" w:hAnsi="Times New Roman" w:cs="Times New Roman"/>
          <w:sz w:val="24"/>
          <w:szCs w:val="24"/>
        </w:rPr>
        <w:t>vērtības</w:t>
      </w:r>
      <w:r w:rsidR="005116D9">
        <w:rPr>
          <w:rFonts w:ascii="Times New Roman" w:hAnsi="Times New Roman" w:cs="Times New Roman"/>
          <w:sz w:val="24"/>
          <w:szCs w:val="24"/>
        </w:rPr>
        <w:t xml:space="preserve"> </w:t>
      </w:r>
      <w:r w:rsidR="003C004A">
        <w:rPr>
          <w:rFonts w:ascii="Times New Roman" w:hAnsi="Times New Roman" w:cs="Times New Roman"/>
          <w:sz w:val="24"/>
          <w:szCs w:val="24"/>
        </w:rPr>
        <w:t>pār</w:t>
      </w:r>
      <w:r w:rsidR="00063376">
        <w:rPr>
          <w:rFonts w:ascii="Times New Roman" w:hAnsi="Times New Roman" w:cs="Times New Roman"/>
          <w:sz w:val="24"/>
          <w:szCs w:val="24"/>
        </w:rPr>
        <w:t>maiņas</w:t>
      </w:r>
      <w:r w:rsidRPr="002C4C8C">
        <w:rPr>
          <w:rFonts w:ascii="Times New Roman" w:hAnsi="Times New Roman" w:cs="Times New Roman"/>
          <w:sz w:val="24"/>
          <w:szCs w:val="24"/>
        </w:rPr>
        <w:t xml:space="preserve"> u</w:t>
      </w:r>
      <w:r w:rsidR="003C004A">
        <w:rPr>
          <w:rFonts w:ascii="Times New Roman" w:hAnsi="Times New Roman" w:cs="Times New Roman"/>
          <w:sz w:val="24"/>
          <w:szCs w:val="24"/>
        </w:rPr>
        <w:t>n</w:t>
      </w:r>
      <w:r w:rsidRPr="002C4C8C">
        <w:rPr>
          <w:rFonts w:ascii="Times New Roman" w:hAnsi="Times New Roman" w:cs="Times New Roman"/>
          <w:sz w:val="24"/>
          <w:szCs w:val="24"/>
        </w:rPr>
        <w:t xml:space="preserve"> augļkopības un dārzeņkopības pienesumu valsts budžeta ieņēmumu veidošanā.</w:t>
      </w:r>
    </w:p>
    <w:p w14:paraId="70CC1F2E" w14:textId="0675E410" w:rsidR="00DE0F41" w:rsidRPr="009659A7" w:rsidRDefault="00DE0F41" w:rsidP="00DE0F41">
      <w:pPr>
        <w:tabs>
          <w:tab w:val="left" w:pos="1418"/>
        </w:tabs>
        <w:spacing w:after="120" w:line="240" w:lineRule="auto"/>
        <w:ind w:left="709"/>
        <w:jc w:val="both"/>
        <w:rPr>
          <w:rFonts w:ascii="Times New Roman" w:hAnsi="Times New Roman" w:cs="Times New Roman"/>
          <w:sz w:val="24"/>
          <w:szCs w:val="24"/>
          <w:u w:val="single"/>
        </w:rPr>
      </w:pPr>
      <w:r w:rsidRPr="009659A7">
        <w:rPr>
          <w:rFonts w:ascii="Times New Roman" w:hAnsi="Times New Roman" w:cs="Times New Roman"/>
          <w:sz w:val="24"/>
          <w:szCs w:val="24"/>
          <w:u w:val="single"/>
        </w:rPr>
        <w:t xml:space="preserve">Augļkopības un dārzeņkopības platību </w:t>
      </w:r>
      <w:r w:rsidR="003C004A">
        <w:rPr>
          <w:rFonts w:ascii="Times New Roman" w:hAnsi="Times New Roman" w:cs="Times New Roman"/>
          <w:sz w:val="24"/>
          <w:szCs w:val="24"/>
          <w:u w:val="single"/>
        </w:rPr>
        <w:t>pār</w:t>
      </w:r>
      <w:r w:rsidRPr="009659A7">
        <w:rPr>
          <w:rFonts w:ascii="Times New Roman" w:hAnsi="Times New Roman" w:cs="Times New Roman"/>
          <w:sz w:val="24"/>
          <w:szCs w:val="24"/>
          <w:u w:val="single"/>
        </w:rPr>
        <w:t>maiņu dinamika</w:t>
      </w:r>
    </w:p>
    <w:p w14:paraId="4338D20A" w14:textId="2253EAFB" w:rsidR="009659A7" w:rsidRPr="0087769D" w:rsidRDefault="009659A7" w:rsidP="009659A7">
      <w:pPr>
        <w:spacing w:after="0" w:line="240" w:lineRule="auto"/>
        <w:ind w:firstLine="709"/>
        <w:jc w:val="both"/>
        <w:rPr>
          <w:rFonts w:ascii="Times New Roman" w:hAnsi="Times New Roman" w:cs="Times New Roman"/>
          <w:iCs/>
          <w:sz w:val="24"/>
          <w:szCs w:val="24"/>
        </w:rPr>
      </w:pPr>
      <w:r w:rsidRPr="0087769D">
        <w:rPr>
          <w:rFonts w:ascii="Times New Roman" w:hAnsi="Times New Roman" w:cs="Times New Roman"/>
          <w:sz w:val="24"/>
          <w:szCs w:val="24"/>
        </w:rPr>
        <w:t xml:space="preserve">Saskaņā ar LAD datiem no 2017. līdz </w:t>
      </w:r>
      <w:r>
        <w:rPr>
          <w:rFonts w:ascii="Times New Roman" w:hAnsi="Times New Roman" w:cs="Times New Roman"/>
          <w:sz w:val="24"/>
          <w:szCs w:val="24"/>
        </w:rPr>
        <w:t>2022</w:t>
      </w:r>
      <w:r w:rsidRPr="0087769D">
        <w:rPr>
          <w:rFonts w:ascii="Times New Roman" w:hAnsi="Times New Roman" w:cs="Times New Roman"/>
          <w:sz w:val="24"/>
          <w:szCs w:val="24"/>
        </w:rPr>
        <w:t xml:space="preserve">. gadam Latvijā kopējā lauksaimniecībā izmantojamās zemes platība, ko izmanto </w:t>
      </w:r>
      <w:r w:rsidR="000442DA">
        <w:rPr>
          <w:rFonts w:ascii="Times New Roman" w:hAnsi="Times New Roman" w:cs="Times New Roman"/>
          <w:sz w:val="24"/>
          <w:szCs w:val="24"/>
        </w:rPr>
        <w:t xml:space="preserve">Pievienotās vērtības nodokļa likumā noteikto </w:t>
      </w:r>
      <w:r w:rsidRPr="0087769D">
        <w:rPr>
          <w:rFonts w:ascii="Times New Roman" w:hAnsi="Times New Roman" w:cs="Times New Roman"/>
          <w:sz w:val="24"/>
          <w:szCs w:val="24"/>
        </w:rPr>
        <w:t>augļu, ogu un dārzeņu</w:t>
      </w:r>
      <w:r w:rsidR="00020B8C">
        <w:rPr>
          <w:rFonts w:ascii="Times New Roman" w:hAnsi="Times New Roman" w:cs="Times New Roman"/>
          <w:sz w:val="24"/>
          <w:szCs w:val="24"/>
        </w:rPr>
        <w:t xml:space="preserve"> (</w:t>
      </w:r>
      <w:r w:rsidR="003C004A">
        <w:rPr>
          <w:rFonts w:ascii="Times New Roman" w:hAnsi="Times New Roman" w:cs="Times New Roman"/>
          <w:sz w:val="24"/>
          <w:szCs w:val="24"/>
        </w:rPr>
        <w:t>arī</w:t>
      </w:r>
      <w:r w:rsidR="00020B8C">
        <w:rPr>
          <w:rFonts w:ascii="Times New Roman" w:hAnsi="Times New Roman" w:cs="Times New Roman"/>
          <w:sz w:val="24"/>
          <w:szCs w:val="24"/>
        </w:rPr>
        <w:t xml:space="preserve"> kartupeļu)</w:t>
      </w:r>
      <w:r w:rsidRPr="0087769D">
        <w:rPr>
          <w:rFonts w:ascii="Times New Roman" w:hAnsi="Times New Roman" w:cs="Times New Roman"/>
          <w:sz w:val="24"/>
          <w:szCs w:val="24"/>
        </w:rPr>
        <w:t xml:space="preserve"> ražošanā, ir palielinājusies no 19 </w:t>
      </w:r>
      <w:r>
        <w:rPr>
          <w:rFonts w:ascii="Times New Roman" w:hAnsi="Times New Roman" w:cs="Times New Roman"/>
          <w:sz w:val="24"/>
          <w:szCs w:val="24"/>
        </w:rPr>
        <w:t>559</w:t>
      </w:r>
      <w:r w:rsidRPr="0087769D">
        <w:rPr>
          <w:rFonts w:ascii="Times New Roman" w:hAnsi="Times New Roman" w:cs="Times New Roman"/>
          <w:sz w:val="24"/>
          <w:szCs w:val="24"/>
        </w:rPr>
        <w:t xml:space="preserve"> hektāriem 2017.</w:t>
      </w:r>
      <w:r w:rsidR="003C004A">
        <w:rPr>
          <w:rFonts w:ascii="Times New Roman" w:hAnsi="Times New Roman" w:cs="Times New Roman"/>
          <w:sz w:val="24"/>
          <w:szCs w:val="24"/>
        </w:rPr>
        <w:t xml:space="preserve"> </w:t>
      </w:r>
      <w:r w:rsidRPr="0087769D">
        <w:rPr>
          <w:rFonts w:ascii="Times New Roman" w:hAnsi="Times New Roman" w:cs="Times New Roman"/>
          <w:sz w:val="24"/>
          <w:szCs w:val="24"/>
        </w:rPr>
        <w:t xml:space="preserve">gadā līdz </w:t>
      </w:r>
      <w:r>
        <w:rPr>
          <w:rFonts w:ascii="Times New Roman" w:hAnsi="Times New Roman" w:cs="Times New Roman"/>
          <w:sz w:val="24"/>
          <w:szCs w:val="24"/>
        </w:rPr>
        <w:t>20</w:t>
      </w:r>
      <w:r w:rsidR="003C004A">
        <w:rPr>
          <w:rFonts w:ascii="Times New Roman" w:hAnsi="Times New Roman" w:cs="Times New Roman"/>
          <w:sz w:val="24"/>
          <w:szCs w:val="24"/>
        </w:rPr>
        <w:t> </w:t>
      </w:r>
      <w:r>
        <w:rPr>
          <w:rFonts w:ascii="Times New Roman" w:hAnsi="Times New Roman" w:cs="Times New Roman"/>
          <w:sz w:val="24"/>
          <w:szCs w:val="24"/>
        </w:rPr>
        <w:t>525</w:t>
      </w:r>
      <w:r w:rsidRPr="0087769D">
        <w:rPr>
          <w:rFonts w:ascii="Times New Roman" w:hAnsi="Times New Roman" w:cs="Times New Roman"/>
          <w:sz w:val="24"/>
          <w:szCs w:val="24"/>
        </w:rPr>
        <w:t xml:space="preserve"> hektāriem </w:t>
      </w:r>
      <w:r>
        <w:rPr>
          <w:rFonts w:ascii="Times New Roman" w:hAnsi="Times New Roman" w:cs="Times New Roman"/>
          <w:sz w:val="24"/>
          <w:szCs w:val="24"/>
        </w:rPr>
        <w:t>2022</w:t>
      </w:r>
      <w:r w:rsidRPr="0087769D">
        <w:rPr>
          <w:rFonts w:ascii="Times New Roman" w:hAnsi="Times New Roman" w:cs="Times New Roman"/>
          <w:sz w:val="24"/>
          <w:szCs w:val="24"/>
        </w:rPr>
        <w:t>.</w:t>
      </w:r>
      <w:r w:rsidR="003C004A">
        <w:rPr>
          <w:rFonts w:ascii="Times New Roman" w:hAnsi="Times New Roman" w:cs="Times New Roman"/>
          <w:sz w:val="24"/>
          <w:szCs w:val="24"/>
        </w:rPr>
        <w:t xml:space="preserve"> </w:t>
      </w:r>
      <w:r w:rsidRPr="0087769D">
        <w:rPr>
          <w:rFonts w:ascii="Times New Roman" w:hAnsi="Times New Roman" w:cs="Times New Roman"/>
          <w:sz w:val="24"/>
          <w:szCs w:val="24"/>
        </w:rPr>
        <w:t xml:space="preserve">gadā jeb </w:t>
      </w:r>
      <w:r w:rsidR="003C004A">
        <w:rPr>
          <w:rFonts w:ascii="Times New Roman" w:hAnsi="Times New Roman" w:cs="Times New Roman"/>
          <w:sz w:val="24"/>
          <w:szCs w:val="24"/>
        </w:rPr>
        <w:t xml:space="preserve">par </w:t>
      </w:r>
      <w:r>
        <w:rPr>
          <w:rFonts w:ascii="Times New Roman" w:hAnsi="Times New Roman" w:cs="Times New Roman"/>
          <w:sz w:val="24"/>
          <w:szCs w:val="24"/>
        </w:rPr>
        <w:t>4,9</w:t>
      </w:r>
      <w:r w:rsidR="003C004A">
        <w:rPr>
          <w:rFonts w:ascii="Times New Roman" w:hAnsi="Times New Roman" w:cs="Times New Roman"/>
          <w:sz w:val="24"/>
          <w:szCs w:val="24"/>
        </w:rPr>
        <w:t xml:space="preserve"> </w:t>
      </w:r>
      <w:r w:rsidRPr="0087769D">
        <w:rPr>
          <w:rFonts w:ascii="Times New Roman" w:hAnsi="Times New Roman" w:cs="Times New Roman"/>
          <w:sz w:val="24"/>
          <w:szCs w:val="24"/>
        </w:rPr>
        <w:t>%.</w:t>
      </w:r>
      <w:r w:rsidRPr="0087769D">
        <w:rPr>
          <w:rFonts w:ascii="Times New Roman" w:hAnsi="Times New Roman" w:cs="Times New Roman"/>
          <w:iCs/>
          <w:sz w:val="24"/>
          <w:szCs w:val="24"/>
        </w:rPr>
        <w:t xml:space="preserve"> </w:t>
      </w:r>
    </w:p>
    <w:p w14:paraId="4E17770B" w14:textId="77777777" w:rsidR="00F2711D" w:rsidRDefault="000442DA" w:rsidP="00F2711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Laik</w:t>
      </w:r>
      <w:r w:rsidR="009659A7">
        <w:rPr>
          <w:rFonts w:ascii="Times New Roman" w:hAnsi="Times New Roman" w:cs="Times New Roman"/>
          <w:iCs/>
          <w:sz w:val="24"/>
          <w:szCs w:val="24"/>
        </w:rPr>
        <w:t xml:space="preserve">ā no 2017. līdz 2022. gadam </w:t>
      </w:r>
      <w:r w:rsidR="003C004A">
        <w:rPr>
          <w:rFonts w:ascii="Times New Roman" w:hAnsi="Times New Roman" w:cs="Times New Roman"/>
          <w:iCs/>
          <w:sz w:val="24"/>
          <w:szCs w:val="24"/>
        </w:rPr>
        <w:t>ievērojami</w:t>
      </w:r>
      <w:r w:rsidR="009659A7">
        <w:rPr>
          <w:rFonts w:ascii="Times New Roman" w:hAnsi="Times New Roman" w:cs="Times New Roman"/>
          <w:iCs/>
          <w:sz w:val="24"/>
          <w:szCs w:val="24"/>
        </w:rPr>
        <w:t xml:space="preserve"> p</w:t>
      </w:r>
      <w:r w:rsidR="00EF5E2C">
        <w:rPr>
          <w:rFonts w:ascii="Times New Roman" w:hAnsi="Times New Roman" w:cs="Times New Roman"/>
          <w:iCs/>
          <w:sz w:val="24"/>
          <w:szCs w:val="24"/>
        </w:rPr>
        <w:t>alielināj</w:t>
      </w:r>
      <w:r w:rsidR="003C004A">
        <w:rPr>
          <w:rFonts w:ascii="Times New Roman" w:hAnsi="Times New Roman" w:cs="Times New Roman"/>
          <w:iCs/>
          <w:sz w:val="24"/>
          <w:szCs w:val="24"/>
        </w:rPr>
        <w:t>u</w:t>
      </w:r>
      <w:r w:rsidR="009659A7">
        <w:rPr>
          <w:rFonts w:ascii="Times New Roman" w:hAnsi="Times New Roman" w:cs="Times New Roman"/>
          <w:iCs/>
          <w:sz w:val="24"/>
          <w:szCs w:val="24"/>
        </w:rPr>
        <w:t>š</w:t>
      </w:r>
      <w:r w:rsidR="003C004A">
        <w:rPr>
          <w:rFonts w:ascii="Times New Roman" w:hAnsi="Times New Roman" w:cs="Times New Roman"/>
          <w:iCs/>
          <w:sz w:val="24"/>
          <w:szCs w:val="24"/>
        </w:rPr>
        <w:t>ā</w:t>
      </w:r>
      <w:r w:rsidR="009659A7">
        <w:rPr>
          <w:rFonts w:ascii="Times New Roman" w:hAnsi="Times New Roman" w:cs="Times New Roman"/>
          <w:iCs/>
          <w:sz w:val="24"/>
          <w:szCs w:val="24"/>
        </w:rPr>
        <w:t>s</w:t>
      </w:r>
      <w:r w:rsidR="009659A7" w:rsidRPr="0087769D">
        <w:rPr>
          <w:rFonts w:ascii="Times New Roman" w:hAnsi="Times New Roman" w:cs="Times New Roman"/>
          <w:iCs/>
          <w:sz w:val="24"/>
          <w:szCs w:val="24"/>
        </w:rPr>
        <w:t xml:space="preserve"> augļkoku un ogulāju platības – par </w:t>
      </w:r>
      <w:r w:rsidR="009659A7">
        <w:rPr>
          <w:rFonts w:ascii="Times New Roman" w:hAnsi="Times New Roman" w:cs="Times New Roman"/>
          <w:iCs/>
          <w:sz w:val="24"/>
          <w:szCs w:val="24"/>
        </w:rPr>
        <w:t>2081</w:t>
      </w:r>
      <w:r w:rsidR="009659A7" w:rsidRPr="0087769D">
        <w:rPr>
          <w:rFonts w:ascii="Times New Roman" w:hAnsi="Times New Roman" w:cs="Times New Roman"/>
          <w:iCs/>
          <w:sz w:val="24"/>
          <w:szCs w:val="24"/>
        </w:rPr>
        <w:t xml:space="preserve"> hektāru jeb </w:t>
      </w:r>
      <w:r w:rsidR="009659A7">
        <w:rPr>
          <w:rFonts w:ascii="Times New Roman" w:hAnsi="Times New Roman" w:cs="Times New Roman"/>
          <w:iCs/>
          <w:sz w:val="24"/>
          <w:szCs w:val="24"/>
        </w:rPr>
        <w:t>26</w:t>
      </w:r>
      <w:r w:rsidR="00EF5E2C">
        <w:rPr>
          <w:rFonts w:ascii="Times New Roman" w:hAnsi="Times New Roman" w:cs="Times New Roman"/>
          <w:iCs/>
          <w:sz w:val="24"/>
          <w:szCs w:val="24"/>
        </w:rPr>
        <w:t xml:space="preserve"> </w:t>
      </w:r>
      <w:r w:rsidR="009659A7" w:rsidRPr="00981BD9">
        <w:rPr>
          <w:rFonts w:ascii="Times New Roman" w:hAnsi="Times New Roman" w:cs="Times New Roman"/>
          <w:iCs/>
          <w:sz w:val="24"/>
          <w:szCs w:val="24"/>
        </w:rPr>
        <w:t>% (</w:t>
      </w:r>
      <w:r w:rsidRPr="00981BD9">
        <w:rPr>
          <w:rFonts w:ascii="Times New Roman" w:hAnsi="Times New Roman" w:cs="Times New Roman"/>
          <w:iCs/>
          <w:sz w:val="24"/>
          <w:szCs w:val="24"/>
        </w:rPr>
        <w:t>9</w:t>
      </w:r>
      <w:r w:rsidR="009659A7" w:rsidRPr="00981BD9">
        <w:rPr>
          <w:rFonts w:ascii="Times New Roman" w:hAnsi="Times New Roman" w:cs="Times New Roman"/>
          <w:iCs/>
          <w:sz w:val="24"/>
          <w:szCs w:val="24"/>
        </w:rPr>
        <w:t>.</w:t>
      </w:r>
      <w:r w:rsidR="00EF5E2C">
        <w:rPr>
          <w:rFonts w:ascii="Times New Roman" w:hAnsi="Times New Roman" w:cs="Times New Roman"/>
          <w:iCs/>
          <w:sz w:val="24"/>
          <w:szCs w:val="24"/>
        </w:rPr>
        <w:t xml:space="preserve"> </w:t>
      </w:r>
      <w:r w:rsidR="009659A7" w:rsidRPr="00981BD9">
        <w:rPr>
          <w:rFonts w:ascii="Times New Roman" w:hAnsi="Times New Roman" w:cs="Times New Roman"/>
          <w:iCs/>
          <w:sz w:val="24"/>
          <w:szCs w:val="24"/>
        </w:rPr>
        <w:t>attēls),</w:t>
      </w:r>
      <w:r w:rsidR="009659A7" w:rsidRPr="0087769D">
        <w:rPr>
          <w:rFonts w:ascii="Times New Roman" w:hAnsi="Times New Roman" w:cs="Times New Roman"/>
          <w:iCs/>
          <w:sz w:val="24"/>
          <w:szCs w:val="24"/>
        </w:rPr>
        <w:t xml:space="preserve"> pārsvarā </w:t>
      </w:r>
      <w:r w:rsidR="003C004A">
        <w:rPr>
          <w:rFonts w:ascii="Times New Roman" w:hAnsi="Times New Roman" w:cs="Times New Roman"/>
          <w:iCs/>
          <w:sz w:val="24"/>
          <w:szCs w:val="24"/>
        </w:rPr>
        <w:t>tādu ogulāju</w:t>
      </w:r>
      <w:r w:rsidR="003C004A" w:rsidRPr="0087769D">
        <w:rPr>
          <w:rFonts w:ascii="Times New Roman" w:hAnsi="Times New Roman" w:cs="Times New Roman"/>
          <w:iCs/>
          <w:sz w:val="24"/>
          <w:szCs w:val="24"/>
        </w:rPr>
        <w:t xml:space="preserve"> </w:t>
      </w:r>
      <w:r w:rsidR="009659A7" w:rsidRPr="0087769D">
        <w:rPr>
          <w:rFonts w:ascii="Times New Roman" w:hAnsi="Times New Roman" w:cs="Times New Roman"/>
          <w:iCs/>
          <w:sz w:val="24"/>
          <w:szCs w:val="24"/>
        </w:rPr>
        <w:t>stādījumu platības</w:t>
      </w:r>
      <w:r w:rsidR="009659A7" w:rsidRPr="0087769D" w:rsidDel="00A02399">
        <w:rPr>
          <w:rFonts w:ascii="Times New Roman" w:hAnsi="Times New Roman" w:cs="Times New Roman"/>
          <w:iCs/>
          <w:sz w:val="24"/>
          <w:szCs w:val="24"/>
        </w:rPr>
        <w:t xml:space="preserve"> </w:t>
      </w:r>
      <w:r w:rsidR="009659A7" w:rsidRPr="0087769D">
        <w:rPr>
          <w:rFonts w:ascii="Times New Roman" w:hAnsi="Times New Roman" w:cs="Times New Roman"/>
          <w:iCs/>
          <w:sz w:val="24"/>
          <w:szCs w:val="24"/>
        </w:rPr>
        <w:t>kā upenes (</w:t>
      </w:r>
      <w:r w:rsidR="009659A7">
        <w:rPr>
          <w:rFonts w:ascii="Times New Roman" w:hAnsi="Times New Roman" w:cs="Times New Roman"/>
          <w:iCs/>
          <w:sz w:val="24"/>
          <w:szCs w:val="24"/>
        </w:rPr>
        <w:t>95</w:t>
      </w:r>
      <w:r w:rsidR="00EF5E2C">
        <w:rPr>
          <w:rFonts w:ascii="Times New Roman" w:hAnsi="Times New Roman" w:cs="Times New Roman"/>
          <w:iCs/>
          <w:sz w:val="24"/>
          <w:szCs w:val="24"/>
        </w:rPr>
        <w:t xml:space="preserve"> </w:t>
      </w:r>
      <w:r w:rsidR="009659A7" w:rsidRPr="0087769D">
        <w:rPr>
          <w:rFonts w:ascii="Times New Roman" w:hAnsi="Times New Roman" w:cs="Times New Roman"/>
          <w:iCs/>
          <w:sz w:val="24"/>
          <w:szCs w:val="24"/>
        </w:rPr>
        <w:t>%</w:t>
      </w:r>
      <w:r w:rsidR="009659A7">
        <w:rPr>
          <w:rFonts w:ascii="Times New Roman" w:hAnsi="Times New Roman" w:cs="Times New Roman"/>
          <w:iCs/>
          <w:sz w:val="24"/>
          <w:szCs w:val="24"/>
        </w:rPr>
        <w:t xml:space="preserve"> jeb par 952 ha</w:t>
      </w:r>
      <w:r w:rsidR="009659A7" w:rsidRPr="0087769D">
        <w:rPr>
          <w:rFonts w:ascii="Times New Roman" w:hAnsi="Times New Roman" w:cs="Times New Roman"/>
          <w:iCs/>
          <w:sz w:val="24"/>
          <w:szCs w:val="24"/>
        </w:rPr>
        <w:t>), smiltsērkšķi (</w:t>
      </w:r>
      <w:r w:rsidR="009659A7">
        <w:rPr>
          <w:rFonts w:ascii="Times New Roman" w:hAnsi="Times New Roman" w:cs="Times New Roman"/>
          <w:iCs/>
          <w:sz w:val="24"/>
          <w:szCs w:val="24"/>
        </w:rPr>
        <w:t>50</w:t>
      </w:r>
      <w:r w:rsidR="00EF5E2C">
        <w:rPr>
          <w:rFonts w:ascii="Times New Roman" w:hAnsi="Times New Roman" w:cs="Times New Roman"/>
          <w:iCs/>
          <w:sz w:val="24"/>
          <w:szCs w:val="24"/>
        </w:rPr>
        <w:t xml:space="preserve"> </w:t>
      </w:r>
      <w:r w:rsidR="009659A7" w:rsidRPr="0087769D">
        <w:rPr>
          <w:rFonts w:ascii="Times New Roman" w:hAnsi="Times New Roman" w:cs="Times New Roman"/>
          <w:iCs/>
          <w:sz w:val="24"/>
          <w:szCs w:val="24"/>
        </w:rPr>
        <w:t>%</w:t>
      </w:r>
      <w:r w:rsidR="009659A7">
        <w:rPr>
          <w:rFonts w:ascii="Times New Roman" w:hAnsi="Times New Roman" w:cs="Times New Roman"/>
          <w:iCs/>
          <w:sz w:val="24"/>
          <w:szCs w:val="24"/>
        </w:rPr>
        <w:t xml:space="preserve"> jeb 474 ha</w:t>
      </w:r>
      <w:r w:rsidR="009659A7" w:rsidRPr="0087769D">
        <w:rPr>
          <w:rFonts w:ascii="Times New Roman" w:hAnsi="Times New Roman" w:cs="Times New Roman"/>
          <w:iCs/>
          <w:sz w:val="24"/>
          <w:szCs w:val="24"/>
        </w:rPr>
        <w:t>), krūmcidonijas (</w:t>
      </w:r>
      <w:r w:rsidR="009659A7">
        <w:rPr>
          <w:rFonts w:ascii="Times New Roman" w:hAnsi="Times New Roman" w:cs="Times New Roman"/>
          <w:iCs/>
          <w:sz w:val="24"/>
          <w:szCs w:val="24"/>
        </w:rPr>
        <w:t>136</w:t>
      </w:r>
      <w:r w:rsidR="003C004A">
        <w:rPr>
          <w:rFonts w:ascii="Times New Roman" w:hAnsi="Times New Roman" w:cs="Times New Roman"/>
          <w:iCs/>
          <w:sz w:val="24"/>
          <w:szCs w:val="24"/>
        </w:rPr>
        <w:t> </w:t>
      </w:r>
      <w:r w:rsidR="009659A7" w:rsidRPr="0087769D">
        <w:rPr>
          <w:rFonts w:ascii="Times New Roman" w:hAnsi="Times New Roman" w:cs="Times New Roman"/>
          <w:iCs/>
          <w:sz w:val="24"/>
          <w:szCs w:val="24"/>
        </w:rPr>
        <w:t>%</w:t>
      </w:r>
      <w:r w:rsidR="009659A7">
        <w:rPr>
          <w:rFonts w:ascii="Times New Roman" w:hAnsi="Times New Roman" w:cs="Times New Roman"/>
          <w:iCs/>
          <w:sz w:val="24"/>
          <w:szCs w:val="24"/>
        </w:rPr>
        <w:t xml:space="preserve"> jeb 406</w:t>
      </w:r>
      <w:r w:rsidR="003C004A">
        <w:rPr>
          <w:rFonts w:ascii="Times New Roman" w:hAnsi="Times New Roman" w:cs="Times New Roman"/>
          <w:iCs/>
          <w:sz w:val="24"/>
          <w:szCs w:val="24"/>
        </w:rPr>
        <w:t> </w:t>
      </w:r>
      <w:r w:rsidR="009659A7">
        <w:rPr>
          <w:rFonts w:ascii="Times New Roman" w:hAnsi="Times New Roman" w:cs="Times New Roman"/>
          <w:iCs/>
          <w:sz w:val="24"/>
          <w:szCs w:val="24"/>
        </w:rPr>
        <w:t>ha</w:t>
      </w:r>
      <w:r w:rsidR="009659A7" w:rsidRPr="0087769D">
        <w:rPr>
          <w:rFonts w:ascii="Times New Roman" w:hAnsi="Times New Roman" w:cs="Times New Roman"/>
          <w:iCs/>
          <w:sz w:val="24"/>
          <w:szCs w:val="24"/>
        </w:rPr>
        <w:t>)</w:t>
      </w:r>
      <w:r w:rsidR="009659A7">
        <w:rPr>
          <w:rFonts w:ascii="Times New Roman" w:hAnsi="Times New Roman" w:cs="Times New Roman"/>
          <w:iCs/>
          <w:sz w:val="24"/>
          <w:szCs w:val="24"/>
        </w:rPr>
        <w:t xml:space="preserve">, </w:t>
      </w:r>
      <w:r w:rsidR="009659A7" w:rsidRPr="0087769D">
        <w:rPr>
          <w:rFonts w:ascii="Times New Roman" w:hAnsi="Times New Roman" w:cs="Times New Roman"/>
          <w:iCs/>
          <w:sz w:val="24"/>
          <w:szCs w:val="24"/>
        </w:rPr>
        <w:t>krūmmellenes (</w:t>
      </w:r>
      <w:r w:rsidR="009659A7">
        <w:rPr>
          <w:rFonts w:ascii="Times New Roman" w:hAnsi="Times New Roman" w:cs="Times New Roman"/>
          <w:iCs/>
          <w:sz w:val="24"/>
          <w:szCs w:val="24"/>
        </w:rPr>
        <w:t>60</w:t>
      </w:r>
      <w:r w:rsidR="00EF5E2C">
        <w:rPr>
          <w:rFonts w:ascii="Times New Roman" w:hAnsi="Times New Roman" w:cs="Times New Roman"/>
          <w:iCs/>
          <w:sz w:val="24"/>
          <w:szCs w:val="24"/>
        </w:rPr>
        <w:t xml:space="preserve"> </w:t>
      </w:r>
      <w:r w:rsidR="009659A7" w:rsidRPr="0087769D">
        <w:rPr>
          <w:rFonts w:ascii="Times New Roman" w:hAnsi="Times New Roman" w:cs="Times New Roman"/>
          <w:iCs/>
          <w:sz w:val="24"/>
          <w:szCs w:val="24"/>
        </w:rPr>
        <w:t>%</w:t>
      </w:r>
      <w:r w:rsidR="009659A7">
        <w:rPr>
          <w:rFonts w:ascii="Times New Roman" w:hAnsi="Times New Roman" w:cs="Times New Roman"/>
          <w:iCs/>
          <w:sz w:val="24"/>
          <w:szCs w:val="24"/>
        </w:rPr>
        <w:t xml:space="preserve"> jeb 172 ha</w:t>
      </w:r>
      <w:r w:rsidR="009659A7" w:rsidRPr="0087769D">
        <w:rPr>
          <w:rFonts w:ascii="Times New Roman" w:hAnsi="Times New Roman" w:cs="Times New Roman"/>
          <w:iCs/>
          <w:sz w:val="24"/>
          <w:szCs w:val="24"/>
        </w:rPr>
        <w:t>)</w:t>
      </w:r>
      <w:r w:rsidR="009659A7">
        <w:rPr>
          <w:rFonts w:ascii="Times New Roman" w:hAnsi="Times New Roman" w:cs="Times New Roman"/>
          <w:iCs/>
          <w:sz w:val="24"/>
          <w:szCs w:val="24"/>
        </w:rPr>
        <w:t xml:space="preserve"> un aronijas (176% jeb 156 ha)</w:t>
      </w:r>
      <w:r w:rsidR="009659A7" w:rsidRPr="0087769D">
        <w:rPr>
          <w:rFonts w:ascii="Times New Roman" w:hAnsi="Times New Roman" w:cs="Times New Roman"/>
          <w:iCs/>
          <w:sz w:val="24"/>
          <w:szCs w:val="24"/>
        </w:rPr>
        <w:t xml:space="preserve">. </w:t>
      </w:r>
      <w:r w:rsidR="009659A7" w:rsidRPr="00B26379">
        <w:rPr>
          <w:rFonts w:ascii="Times New Roman" w:hAnsi="Times New Roman" w:cs="Times New Roman"/>
          <w:iCs/>
          <w:sz w:val="24"/>
          <w:szCs w:val="24"/>
        </w:rPr>
        <w:t xml:space="preserve">Ogulāju platības palielinājums ir saistīts ar arvien lielāko pieprasījumu pēc to pārstrādes produktiem. </w:t>
      </w:r>
      <w:r w:rsidR="009659A7" w:rsidRPr="0087769D">
        <w:rPr>
          <w:rFonts w:ascii="Times New Roman" w:hAnsi="Times New Roman" w:cs="Times New Roman"/>
          <w:iCs/>
          <w:sz w:val="24"/>
          <w:szCs w:val="24"/>
        </w:rPr>
        <w:t>Jāpiebilst, ka veco augļu dārzu nomaiņa un jaunu ogulāju platību ierīkošana prasa ļoti lielas investīcijas, kas sāk atmaksāties ne ātrāk kā pēc četriem vai pieciem gadiem, kad ilggadīgie stādījumi sāk pilnvērtīgi ražot.</w:t>
      </w:r>
      <w:r w:rsidR="00157042" w:rsidRPr="00157042">
        <w:rPr>
          <w:rFonts w:ascii="Times New Roman" w:hAnsi="Times New Roman" w:cs="Times New Roman"/>
          <w:iCs/>
          <w:sz w:val="24"/>
          <w:szCs w:val="24"/>
        </w:rPr>
        <w:t xml:space="preserve"> </w:t>
      </w:r>
    </w:p>
    <w:p w14:paraId="02650B37" w14:textId="35C1C15C" w:rsidR="00157042" w:rsidRDefault="00F2711D" w:rsidP="00F2711D">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Pieaugums vērojams arī dārzeņu platībām </w:t>
      </w:r>
      <w:r w:rsidRPr="0087769D">
        <w:rPr>
          <w:rFonts w:ascii="Times New Roman" w:hAnsi="Times New Roman" w:cs="Times New Roman"/>
          <w:iCs/>
          <w:sz w:val="24"/>
          <w:szCs w:val="24"/>
        </w:rPr>
        <w:t xml:space="preserve">– par </w:t>
      </w:r>
      <w:r>
        <w:rPr>
          <w:rFonts w:ascii="Times New Roman" w:hAnsi="Times New Roman" w:cs="Times New Roman"/>
          <w:iCs/>
          <w:sz w:val="24"/>
          <w:szCs w:val="24"/>
        </w:rPr>
        <w:t>354</w:t>
      </w:r>
      <w:r w:rsidRPr="0087769D">
        <w:rPr>
          <w:rFonts w:ascii="Times New Roman" w:hAnsi="Times New Roman" w:cs="Times New Roman"/>
          <w:iCs/>
          <w:sz w:val="24"/>
          <w:szCs w:val="24"/>
        </w:rPr>
        <w:t xml:space="preserve"> hektāriem jeb </w:t>
      </w:r>
      <w:r>
        <w:rPr>
          <w:rFonts w:ascii="Times New Roman" w:hAnsi="Times New Roman" w:cs="Times New Roman"/>
          <w:iCs/>
          <w:sz w:val="24"/>
          <w:szCs w:val="24"/>
        </w:rPr>
        <w:t xml:space="preserve">11 </w:t>
      </w:r>
      <w:r w:rsidRPr="0087769D">
        <w:rPr>
          <w:rFonts w:ascii="Times New Roman" w:hAnsi="Times New Roman" w:cs="Times New Roman"/>
          <w:iCs/>
          <w:sz w:val="24"/>
          <w:szCs w:val="24"/>
        </w:rPr>
        <w:t>%. Lielākas ir kļuvušas platības, kurās tiek audzēti tādi dārzeņi kā</w:t>
      </w:r>
      <w:r>
        <w:rPr>
          <w:rFonts w:ascii="Times New Roman" w:hAnsi="Times New Roman" w:cs="Times New Roman"/>
          <w:iCs/>
          <w:sz w:val="24"/>
          <w:szCs w:val="24"/>
        </w:rPr>
        <w:t xml:space="preserve"> </w:t>
      </w:r>
      <w:r w:rsidRPr="0087769D">
        <w:rPr>
          <w:rFonts w:ascii="Times New Roman" w:hAnsi="Times New Roman" w:cs="Times New Roman"/>
          <w:iCs/>
          <w:sz w:val="24"/>
          <w:szCs w:val="24"/>
        </w:rPr>
        <w:t>ķiploki (</w:t>
      </w:r>
      <w:r>
        <w:rPr>
          <w:rFonts w:ascii="Times New Roman" w:hAnsi="Times New Roman" w:cs="Times New Roman"/>
          <w:iCs/>
          <w:sz w:val="24"/>
          <w:szCs w:val="24"/>
        </w:rPr>
        <w:t xml:space="preserve">164 </w:t>
      </w:r>
      <w:r w:rsidRPr="0087769D">
        <w:rPr>
          <w:rFonts w:ascii="Times New Roman" w:hAnsi="Times New Roman" w:cs="Times New Roman"/>
          <w:iCs/>
          <w:sz w:val="24"/>
          <w:szCs w:val="24"/>
        </w:rPr>
        <w:t>%</w:t>
      </w:r>
      <w:r>
        <w:rPr>
          <w:rFonts w:ascii="Times New Roman" w:hAnsi="Times New Roman" w:cs="Times New Roman"/>
          <w:iCs/>
          <w:sz w:val="24"/>
          <w:szCs w:val="24"/>
        </w:rPr>
        <w:t xml:space="preserve"> jeb par 218 ha</w:t>
      </w:r>
      <w:r w:rsidRPr="0087769D">
        <w:rPr>
          <w:rFonts w:ascii="Times New Roman" w:hAnsi="Times New Roman" w:cs="Times New Roman"/>
          <w:iCs/>
          <w:sz w:val="24"/>
          <w:szCs w:val="24"/>
        </w:rPr>
        <w:t>), ķirbji</w:t>
      </w:r>
      <w:r>
        <w:rPr>
          <w:rFonts w:ascii="Times New Roman" w:hAnsi="Times New Roman" w:cs="Times New Roman"/>
          <w:iCs/>
          <w:sz w:val="24"/>
          <w:szCs w:val="24"/>
        </w:rPr>
        <w:t xml:space="preserve">, cukīni, kabači </w:t>
      </w:r>
      <w:r w:rsidRPr="0087769D">
        <w:rPr>
          <w:rFonts w:ascii="Times New Roman" w:hAnsi="Times New Roman" w:cs="Times New Roman"/>
          <w:iCs/>
          <w:sz w:val="24"/>
          <w:szCs w:val="24"/>
        </w:rPr>
        <w:t>(</w:t>
      </w:r>
      <w:r>
        <w:rPr>
          <w:rFonts w:ascii="Times New Roman" w:hAnsi="Times New Roman" w:cs="Times New Roman"/>
          <w:iCs/>
          <w:sz w:val="24"/>
          <w:szCs w:val="24"/>
        </w:rPr>
        <w:t xml:space="preserve">71 </w:t>
      </w:r>
      <w:r w:rsidRPr="0087769D">
        <w:rPr>
          <w:rFonts w:ascii="Times New Roman" w:hAnsi="Times New Roman" w:cs="Times New Roman"/>
          <w:iCs/>
          <w:sz w:val="24"/>
          <w:szCs w:val="24"/>
        </w:rPr>
        <w:t>%</w:t>
      </w:r>
      <w:r>
        <w:rPr>
          <w:rFonts w:ascii="Times New Roman" w:hAnsi="Times New Roman" w:cs="Times New Roman"/>
          <w:iCs/>
          <w:sz w:val="24"/>
          <w:szCs w:val="24"/>
        </w:rPr>
        <w:t xml:space="preserve"> jeb par 161 ha</w:t>
      </w:r>
      <w:r w:rsidRPr="0087769D">
        <w:rPr>
          <w:rFonts w:ascii="Times New Roman" w:hAnsi="Times New Roman" w:cs="Times New Roman"/>
          <w:iCs/>
          <w:sz w:val="24"/>
          <w:szCs w:val="24"/>
        </w:rPr>
        <w:t>) un galda bietes (</w:t>
      </w:r>
      <w:r>
        <w:rPr>
          <w:rFonts w:ascii="Times New Roman" w:hAnsi="Times New Roman" w:cs="Times New Roman"/>
          <w:iCs/>
          <w:sz w:val="24"/>
          <w:szCs w:val="24"/>
        </w:rPr>
        <w:t xml:space="preserve">42 </w:t>
      </w:r>
      <w:r w:rsidRPr="0087769D">
        <w:rPr>
          <w:rFonts w:ascii="Times New Roman" w:hAnsi="Times New Roman" w:cs="Times New Roman"/>
          <w:iCs/>
          <w:sz w:val="24"/>
          <w:szCs w:val="24"/>
        </w:rPr>
        <w:t>%</w:t>
      </w:r>
      <w:r>
        <w:rPr>
          <w:rFonts w:ascii="Times New Roman" w:hAnsi="Times New Roman" w:cs="Times New Roman"/>
          <w:iCs/>
          <w:sz w:val="24"/>
          <w:szCs w:val="24"/>
        </w:rPr>
        <w:t xml:space="preserve"> jeb par 95 ha</w:t>
      </w:r>
      <w:r w:rsidRPr="0087769D">
        <w:rPr>
          <w:rFonts w:ascii="Times New Roman" w:hAnsi="Times New Roman" w:cs="Times New Roman"/>
          <w:iCs/>
          <w:sz w:val="24"/>
          <w:szCs w:val="24"/>
        </w:rPr>
        <w:t>).</w:t>
      </w:r>
    </w:p>
    <w:p w14:paraId="7A1DE005" w14:textId="77777777" w:rsidR="009659A7" w:rsidRPr="00734F1A" w:rsidRDefault="009659A7" w:rsidP="00F2711D">
      <w:pPr>
        <w:pStyle w:val="ListParagraph"/>
        <w:tabs>
          <w:tab w:val="left" w:pos="1418"/>
        </w:tabs>
        <w:spacing w:before="120" w:after="120" w:line="240" w:lineRule="auto"/>
        <w:ind w:left="0"/>
        <w:contextualSpacing w:val="0"/>
        <w:jc w:val="center"/>
        <w:rPr>
          <w:rFonts w:ascii="Times New Roman" w:hAnsi="Times New Roman" w:cs="Times New Roman"/>
          <w:sz w:val="24"/>
          <w:szCs w:val="24"/>
        </w:rPr>
      </w:pPr>
      <w:r>
        <w:rPr>
          <w:noProof/>
          <w:lang w:eastAsia="lv-LV"/>
        </w:rPr>
        <w:drawing>
          <wp:inline distT="0" distB="0" distL="0" distR="0" wp14:anchorId="5D322BEE" wp14:editId="39EE9415">
            <wp:extent cx="5659394" cy="2940908"/>
            <wp:effectExtent l="0" t="0" r="17780" b="12065"/>
            <wp:docPr id="23" name="Chart 23">
              <a:extLst xmlns:a="http://schemas.openxmlformats.org/drawingml/2006/main">
                <a:ext uri="{FF2B5EF4-FFF2-40B4-BE49-F238E27FC236}">
                  <a16:creationId xmlns:a16="http://schemas.microsoft.com/office/drawing/2014/main" id="{A7EC76D5-032A-5788-A3D7-FF7FD9CCE7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2826E9" w14:textId="3FD5BF1A" w:rsidR="009659A7" w:rsidRPr="00734F1A" w:rsidRDefault="000442DA" w:rsidP="009659A7">
      <w:pPr>
        <w:spacing w:after="0" w:line="240" w:lineRule="auto"/>
        <w:ind w:right="-19" w:firstLine="720"/>
        <w:jc w:val="both"/>
        <w:rPr>
          <w:rFonts w:ascii="Times New Roman" w:hAnsi="Times New Roman" w:cs="Times New Roman"/>
          <w:b/>
          <w:bCs/>
          <w:sz w:val="24"/>
          <w:szCs w:val="24"/>
        </w:rPr>
      </w:pPr>
      <w:r w:rsidRPr="00981BD9">
        <w:rPr>
          <w:rFonts w:ascii="Times New Roman" w:hAnsi="Times New Roman" w:cs="Times New Roman"/>
          <w:sz w:val="24"/>
          <w:szCs w:val="24"/>
        </w:rPr>
        <w:t>9</w:t>
      </w:r>
      <w:r w:rsidR="009659A7" w:rsidRPr="00981BD9">
        <w:rPr>
          <w:rFonts w:ascii="Times New Roman" w:hAnsi="Times New Roman" w:cs="Times New Roman"/>
          <w:sz w:val="24"/>
          <w:szCs w:val="24"/>
        </w:rPr>
        <w:t>.</w:t>
      </w:r>
      <w:r w:rsidR="003C004A">
        <w:rPr>
          <w:rFonts w:ascii="Times New Roman" w:hAnsi="Times New Roman" w:cs="Times New Roman"/>
          <w:sz w:val="24"/>
          <w:szCs w:val="24"/>
        </w:rPr>
        <w:t> </w:t>
      </w:r>
      <w:r w:rsidR="009659A7" w:rsidRPr="00981BD9">
        <w:rPr>
          <w:rFonts w:ascii="Times New Roman" w:hAnsi="Times New Roman" w:cs="Times New Roman"/>
          <w:sz w:val="24"/>
          <w:szCs w:val="24"/>
        </w:rPr>
        <w:t>attēls.</w:t>
      </w:r>
      <w:r w:rsidR="009659A7" w:rsidRPr="00734F1A">
        <w:rPr>
          <w:rFonts w:ascii="Times New Roman" w:hAnsi="Times New Roman" w:cs="Times New Roman"/>
          <w:sz w:val="24"/>
          <w:szCs w:val="24"/>
        </w:rPr>
        <w:t xml:space="preserve"> Augļkoku, ogulāju un dārzeņu platības</w:t>
      </w:r>
      <w:r w:rsidR="009659A7" w:rsidRPr="00734F1A">
        <w:rPr>
          <w:rFonts w:ascii="Times New Roman" w:hAnsi="Times New Roman" w:cs="Times New Roman"/>
          <w:sz w:val="24"/>
          <w:szCs w:val="24"/>
          <w:shd w:val="clear" w:color="auto" w:fill="FFFFFF"/>
        </w:rPr>
        <w:t xml:space="preserve"> 2017. un 20</w:t>
      </w:r>
      <w:r w:rsidR="009659A7">
        <w:rPr>
          <w:rFonts w:ascii="Times New Roman" w:hAnsi="Times New Roman" w:cs="Times New Roman"/>
          <w:sz w:val="24"/>
          <w:szCs w:val="24"/>
          <w:shd w:val="clear" w:color="auto" w:fill="FFFFFF"/>
        </w:rPr>
        <w:t>22</w:t>
      </w:r>
      <w:r w:rsidR="009659A7" w:rsidRPr="00734F1A">
        <w:rPr>
          <w:rFonts w:ascii="Times New Roman" w:hAnsi="Times New Roman" w:cs="Times New Roman"/>
          <w:sz w:val="24"/>
          <w:szCs w:val="24"/>
          <w:shd w:val="clear" w:color="auto" w:fill="FFFFFF"/>
        </w:rPr>
        <w:t>.</w:t>
      </w:r>
      <w:r w:rsidR="003C004A">
        <w:rPr>
          <w:rFonts w:ascii="Times New Roman" w:hAnsi="Times New Roman" w:cs="Times New Roman"/>
          <w:sz w:val="24"/>
          <w:szCs w:val="24"/>
          <w:shd w:val="clear" w:color="auto" w:fill="FFFFFF"/>
        </w:rPr>
        <w:t xml:space="preserve"> </w:t>
      </w:r>
      <w:r w:rsidR="009659A7" w:rsidRPr="00734F1A">
        <w:rPr>
          <w:rFonts w:ascii="Times New Roman" w:hAnsi="Times New Roman" w:cs="Times New Roman"/>
          <w:sz w:val="24"/>
          <w:szCs w:val="24"/>
          <w:shd w:val="clear" w:color="auto" w:fill="FFFFFF"/>
        </w:rPr>
        <w:t>gadā, hektāri</w:t>
      </w:r>
    </w:p>
    <w:p w14:paraId="0A69A5AB" w14:textId="77777777" w:rsidR="009659A7" w:rsidRPr="00734F1A" w:rsidRDefault="009659A7" w:rsidP="009659A7">
      <w:pPr>
        <w:spacing w:line="240" w:lineRule="auto"/>
        <w:ind w:right="-19" w:firstLine="720"/>
        <w:jc w:val="both"/>
        <w:rPr>
          <w:rFonts w:ascii="Times New Roman" w:hAnsi="Times New Roman" w:cs="Times New Roman"/>
          <w:i/>
          <w:sz w:val="18"/>
          <w:szCs w:val="18"/>
        </w:rPr>
      </w:pPr>
      <w:r w:rsidRPr="00734F1A">
        <w:rPr>
          <w:rFonts w:ascii="Times New Roman" w:hAnsi="Times New Roman" w:cs="Times New Roman"/>
          <w:i/>
          <w:sz w:val="18"/>
          <w:szCs w:val="18"/>
        </w:rPr>
        <w:t xml:space="preserve">Avots: </w:t>
      </w:r>
      <w:r w:rsidRPr="00734F1A">
        <w:rPr>
          <w:rFonts w:ascii="Times New Roman" w:hAnsi="Times New Roman" w:cs="Times New Roman"/>
          <w:sz w:val="18"/>
          <w:szCs w:val="18"/>
        </w:rPr>
        <w:t>ZM pēc LAD datiem</w:t>
      </w:r>
    </w:p>
    <w:p w14:paraId="47C0494F" w14:textId="0D1BA28B" w:rsidR="004B332A" w:rsidRPr="00193F51" w:rsidRDefault="009659A7" w:rsidP="00193F51">
      <w:pPr>
        <w:spacing w:after="120" w:line="240" w:lineRule="auto"/>
        <w:ind w:firstLine="709"/>
        <w:jc w:val="both"/>
        <w:rPr>
          <w:rFonts w:ascii="Times New Roman" w:eastAsia="Calibri" w:hAnsi="Times New Roman" w:cs="Times New Roman"/>
          <w:sz w:val="24"/>
          <w:lang w:eastAsia="lv-LV"/>
        </w:rPr>
      </w:pPr>
      <w:r w:rsidRPr="0087769D">
        <w:rPr>
          <w:rFonts w:ascii="Times New Roman" w:hAnsi="Times New Roman" w:cs="Times New Roman"/>
          <w:iCs/>
          <w:sz w:val="24"/>
          <w:szCs w:val="24"/>
        </w:rPr>
        <w:lastRenderedPageBreak/>
        <w:t xml:space="preserve">No 2017. līdz </w:t>
      </w:r>
      <w:r>
        <w:rPr>
          <w:rFonts w:ascii="Times New Roman" w:hAnsi="Times New Roman" w:cs="Times New Roman"/>
          <w:iCs/>
          <w:sz w:val="24"/>
          <w:szCs w:val="24"/>
        </w:rPr>
        <w:t>2022</w:t>
      </w:r>
      <w:r w:rsidRPr="0087769D">
        <w:rPr>
          <w:rFonts w:ascii="Times New Roman" w:hAnsi="Times New Roman" w:cs="Times New Roman"/>
          <w:iCs/>
          <w:sz w:val="24"/>
          <w:szCs w:val="24"/>
        </w:rPr>
        <w:t>.</w:t>
      </w:r>
      <w:r w:rsidR="00EF5E2C">
        <w:rPr>
          <w:rFonts w:ascii="Times New Roman" w:hAnsi="Times New Roman" w:cs="Times New Roman"/>
          <w:iCs/>
          <w:sz w:val="24"/>
          <w:szCs w:val="24"/>
        </w:rPr>
        <w:t xml:space="preserve"> </w:t>
      </w:r>
      <w:r w:rsidRPr="0087769D">
        <w:rPr>
          <w:rFonts w:ascii="Times New Roman" w:hAnsi="Times New Roman" w:cs="Times New Roman"/>
          <w:iCs/>
          <w:sz w:val="24"/>
          <w:szCs w:val="24"/>
        </w:rPr>
        <w:t xml:space="preserve">gadam ir samazinājušās kartupeļu platības, kopumā par </w:t>
      </w:r>
      <w:r>
        <w:rPr>
          <w:rFonts w:ascii="Times New Roman" w:hAnsi="Times New Roman" w:cs="Times New Roman"/>
          <w:iCs/>
          <w:sz w:val="24"/>
          <w:szCs w:val="24"/>
        </w:rPr>
        <w:t>1469</w:t>
      </w:r>
      <w:r w:rsidR="00903335">
        <w:rPr>
          <w:rFonts w:ascii="Times New Roman" w:hAnsi="Times New Roman" w:cs="Times New Roman"/>
          <w:iCs/>
          <w:sz w:val="24"/>
          <w:szCs w:val="24"/>
        </w:rPr>
        <w:t> </w:t>
      </w:r>
      <w:r w:rsidRPr="0087769D">
        <w:rPr>
          <w:rFonts w:ascii="Times New Roman" w:hAnsi="Times New Roman" w:cs="Times New Roman"/>
          <w:iCs/>
          <w:sz w:val="24"/>
          <w:szCs w:val="24"/>
        </w:rPr>
        <w:t xml:space="preserve">hektāriem jeb nepilniem </w:t>
      </w:r>
      <w:r>
        <w:rPr>
          <w:rFonts w:ascii="Times New Roman" w:hAnsi="Times New Roman" w:cs="Times New Roman"/>
          <w:iCs/>
          <w:sz w:val="24"/>
          <w:szCs w:val="24"/>
        </w:rPr>
        <w:t>17</w:t>
      </w:r>
      <w:r w:rsidR="00EF5E2C">
        <w:rPr>
          <w:rFonts w:ascii="Times New Roman" w:hAnsi="Times New Roman" w:cs="Times New Roman"/>
          <w:iCs/>
          <w:sz w:val="24"/>
          <w:szCs w:val="24"/>
        </w:rPr>
        <w:t> </w:t>
      </w:r>
      <w:r w:rsidRPr="0087769D">
        <w:rPr>
          <w:rFonts w:ascii="Times New Roman" w:hAnsi="Times New Roman" w:cs="Times New Roman"/>
          <w:iCs/>
          <w:sz w:val="24"/>
          <w:szCs w:val="24"/>
        </w:rPr>
        <w:t>%</w:t>
      </w:r>
      <w:r w:rsidR="00193F51">
        <w:rPr>
          <w:rFonts w:ascii="Times New Roman" w:hAnsi="Times New Roman" w:cs="Times New Roman"/>
          <w:iCs/>
          <w:sz w:val="24"/>
          <w:szCs w:val="24"/>
        </w:rPr>
        <w:t xml:space="preserve">, </w:t>
      </w:r>
      <w:r w:rsidR="00193F51" w:rsidRPr="00193F51">
        <w:rPr>
          <w:rFonts w:ascii="Times New Roman" w:hAnsi="Times New Roman" w:cs="Times New Roman"/>
          <w:iCs/>
          <w:sz w:val="24"/>
          <w:szCs w:val="24"/>
        </w:rPr>
        <w:t xml:space="preserve">jo </w:t>
      </w:r>
      <w:r w:rsidR="00193F51" w:rsidRPr="00193F51">
        <w:rPr>
          <w:rFonts w:ascii="Times New Roman" w:eastAsia="Calibri" w:hAnsi="Times New Roman" w:cs="Times New Roman"/>
          <w:sz w:val="24"/>
          <w:lang w:eastAsia="lv-LV"/>
        </w:rPr>
        <w:t>p</w:t>
      </w:r>
      <w:r w:rsidR="004B332A" w:rsidRPr="00193F51">
        <w:rPr>
          <w:rFonts w:ascii="Times New Roman" w:eastAsia="Calibri" w:hAnsi="Times New Roman" w:cs="Times New Roman"/>
          <w:sz w:val="24"/>
          <w:lang w:eastAsia="lv-LV"/>
        </w:rPr>
        <w:t>ieprasījums pēc pārtikas kartupeļiem gadu no gada samazinās. Tiek minēti dažādi iemesli – ēšanas paradumu maiņa, jaunas tendences no pasaules virtuves un iedzīvotāju skaita samazināšanās.</w:t>
      </w:r>
      <w:r w:rsidR="00193F51" w:rsidRPr="00193F51">
        <w:rPr>
          <w:rFonts w:ascii="Times New Roman" w:eastAsia="Calibri" w:hAnsi="Times New Roman" w:cs="Times New Roman"/>
          <w:sz w:val="24"/>
          <w:lang w:eastAsia="lv-LV"/>
        </w:rPr>
        <w:t xml:space="preserve"> </w:t>
      </w:r>
      <w:r w:rsidR="004B332A" w:rsidRPr="00193F51">
        <w:rPr>
          <w:rFonts w:ascii="Times New Roman" w:eastAsia="Calibri" w:hAnsi="Times New Roman" w:cs="Times New Roman"/>
          <w:sz w:val="24"/>
          <w:lang w:eastAsia="lv-LV"/>
        </w:rPr>
        <w:t xml:space="preserve">Tāpat ik gadu samazinās kartupeļu stādījumu platība, jo kartupeļi ir </w:t>
      </w:r>
      <w:proofErr w:type="spellStart"/>
      <w:r w:rsidR="004B332A" w:rsidRPr="00193F51">
        <w:rPr>
          <w:rFonts w:ascii="Times New Roman" w:eastAsia="Calibri" w:hAnsi="Times New Roman" w:cs="Times New Roman"/>
          <w:sz w:val="24"/>
          <w:lang w:eastAsia="lv-LV"/>
        </w:rPr>
        <w:t>resursietilpīgi</w:t>
      </w:r>
      <w:proofErr w:type="spellEnd"/>
      <w:r w:rsidR="004B332A" w:rsidRPr="00193F51">
        <w:rPr>
          <w:rFonts w:ascii="Times New Roman" w:eastAsia="Calibri" w:hAnsi="Times New Roman" w:cs="Times New Roman"/>
          <w:sz w:val="24"/>
          <w:lang w:eastAsia="lv-LV"/>
        </w:rPr>
        <w:t xml:space="preserve"> kultūraugi un to audzēšanai nepieciešams liels degvielas un darbaspēka patēriņš. Viena kartupeļu hektāra izaudzēšanā ir jāiegulda divas līdz trīs reizes vairāk finanšu līdzekļu nekā viena hektāra graudaugu izaudzēšanā. Kopējā kartupeļu aizņemtā platība samazinās arī tādēļ, ka mazie un vidējie kartupeļu audzētāji tos audzē mazāk, jo netiek garantēta stabila produkcijas realizācija, turklāt maza ražošanas apjoma dēļ tie nespēj konkurēt tirgū. Kartupeļu platībai Latvijā sarūkot, samazinās arī pārtikas kartupeļu patēriņš, toties palielinās pārstrādes apjoms, kartupeļiem pārtopot par čipsiem vai cieti. Audzēt kartupeļus, no kuriem pēc tam tiek ražoti </w:t>
      </w:r>
      <w:proofErr w:type="spellStart"/>
      <w:r w:rsidR="004B332A" w:rsidRPr="00193F51">
        <w:rPr>
          <w:rFonts w:ascii="Times New Roman" w:eastAsia="Calibri" w:hAnsi="Times New Roman" w:cs="Times New Roman"/>
          <w:sz w:val="24"/>
          <w:lang w:eastAsia="lv-LV"/>
        </w:rPr>
        <w:t>čipši</w:t>
      </w:r>
      <w:proofErr w:type="spellEnd"/>
      <w:r w:rsidR="004B332A" w:rsidRPr="00193F51">
        <w:rPr>
          <w:rFonts w:ascii="Times New Roman" w:eastAsia="Calibri" w:hAnsi="Times New Roman" w:cs="Times New Roman"/>
          <w:sz w:val="24"/>
          <w:lang w:eastAsia="lv-LV"/>
        </w:rPr>
        <w:t xml:space="preserve"> vai ciete, ir izdevīgāk, jo ir garantēts pārdošanas apjoms, savukārt galdam paredzētos kartupeļus bieži vien ir ļoti grūti pārdot. </w:t>
      </w:r>
    </w:p>
    <w:p w14:paraId="2D5094A1" w14:textId="56864865" w:rsidR="00365DAE" w:rsidRPr="0087769D" w:rsidRDefault="00365DAE" w:rsidP="004B332A">
      <w:pPr>
        <w:spacing w:after="120" w:line="240" w:lineRule="auto"/>
        <w:ind w:firstLine="709"/>
        <w:jc w:val="both"/>
        <w:rPr>
          <w:rFonts w:ascii="Times New Roman" w:eastAsia="Times New Roman" w:hAnsi="Times New Roman" w:cs="Times New Roman"/>
          <w:b/>
          <w:sz w:val="24"/>
          <w:szCs w:val="24"/>
          <w:u w:val="single"/>
        </w:rPr>
      </w:pPr>
      <w:r w:rsidRPr="0087769D">
        <w:rPr>
          <w:rFonts w:ascii="Times New Roman" w:hAnsi="Times New Roman" w:cs="Times New Roman"/>
          <w:sz w:val="24"/>
          <w:szCs w:val="24"/>
          <w:u w:val="single"/>
        </w:rPr>
        <w:t xml:space="preserve">Augļkopības un dārzeņkopības saražotās produkcijas apjoma un ārējās tirdzniecības </w:t>
      </w:r>
      <w:r w:rsidR="00903335">
        <w:rPr>
          <w:rFonts w:ascii="Times New Roman" w:hAnsi="Times New Roman" w:cs="Times New Roman"/>
          <w:sz w:val="24"/>
          <w:szCs w:val="24"/>
          <w:u w:val="single"/>
        </w:rPr>
        <w:t>pār</w:t>
      </w:r>
      <w:r w:rsidRPr="0087769D">
        <w:rPr>
          <w:rFonts w:ascii="Times New Roman" w:hAnsi="Times New Roman" w:cs="Times New Roman"/>
          <w:sz w:val="24"/>
          <w:szCs w:val="24"/>
          <w:u w:val="single"/>
        </w:rPr>
        <w:t>maiņas</w:t>
      </w:r>
    </w:p>
    <w:p w14:paraId="0762B258" w14:textId="34854111" w:rsidR="00365DAE" w:rsidRPr="0087769D" w:rsidRDefault="00365DAE" w:rsidP="00365DAE">
      <w:pPr>
        <w:spacing w:after="0" w:line="240" w:lineRule="auto"/>
        <w:ind w:firstLine="720"/>
        <w:jc w:val="both"/>
        <w:rPr>
          <w:rFonts w:ascii="Times New Roman" w:hAnsi="Times New Roman" w:cs="Times New Roman"/>
          <w:sz w:val="24"/>
          <w:szCs w:val="24"/>
        </w:rPr>
      </w:pPr>
      <w:r w:rsidRPr="0087769D">
        <w:rPr>
          <w:rFonts w:ascii="Times New Roman" w:hAnsi="Times New Roman" w:cs="Times New Roman"/>
          <w:sz w:val="24"/>
          <w:szCs w:val="24"/>
        </w:rPr>
        <w:t>Augļkopības un dārzeņkopības</w:t>
      </w:r>
      <w:r>
        <w:rPr>
          <w:rFonts w:ascii="Times New Roman" w:hAnsi="Times New Roman" w:cs="Times New Roman"/>
          <w:sz w:val="24"/>
          <w:szCs w:val="24"/>
        </w:rPr>
        <w:t xml:space="preserve"> (t</w:t>
      </w:r>
      <w:r w:rsidR="00903335">
        <w:rPr>
          <w:rFonts w:ascii="Times New Roman" w:hAnsi="Times New Roman" w:cs="Times New Roman"/>
          <w:sz w:val="24"/>
          <w:szCs w:val="24"/>
        </w:rPr>
        <w:t>ostarp</w:t>
      </w:r>
      <w:r>
        <w:rPr>
          <w:rFonts w:ascii="Times New Roman" w:hAnsi="Times New Roman" w:cs="Times New Roman"/>
          <w:sz w:val="24"/>
          <w:szCs w:val="24"/>
        </w:rPr>
        <w:t xml:space="preserve"> kartupeļ</w:t>
      </w:r>
      <w:r w:rsidR="00903335">
        <w:rPr>
          <w:rFonts w:ascii="Times New Roman" w:hAnsi="Times New Roman" w:cs="Times New Roman"/>
          <w:sz w:val="24"/>
          <w:szCs w:val="24"/>
        </w:rPr>
        <w:t>u audzēšanas</w:t>
      </w:r>
      <w:r>
        <w:rPr>
          <w:rFonts w:ascii="Times New Roman" w:hAnsi="Times New Roman" w:cs="Times New Roman"/>
          <w:sz w:val="24"/>
          <w:szCs w:val="24"/>
        </w:rPr>
        <w:t>)</w:t>
      </w:r>
      <w:r w:rsidRPr="0087769D">
        <w:rPr>
          <w:rFonts w:ascii="Times New Roman" w:hAnsi="Times New Roman" w:cs="Times New Roman"/>
          <w:sz w:val="24"/>
          <w:szCs w:val="24"/>
        </w:rPr>
        <w:t xml:space="preserve"> nozares saražotā produkcijas vērtība </w:t>
      </w:r>
      <w:r>
        <w:rPr>
          <w:rFonts w:ascii="Times New Roman" w:hAnsi="Times New Roman" w:cs="Times New Roman"/>
          <w:sz w:val="24"/>
          <w:szCs w:val="24"/>
        </w:rPr>
        <w:t>2022</w:t>
      </w:r>
      <w:r w:rsidRPr="0087769D">
        <w:rPr>
          <w:rFonts w:ascii="Times New Roman" w:hAnsi="Times New Roman" w:cs="Times New Roman"/>
          <w:sz w:val="24"/>
          <w:szCs w:val="24"/>
        </w:rPr>
        <w:t xml:space="preserve">. gadā </w:t>
      </w:r>
      <w:r>
        <w:rPr>
          <w:rFonts w:ascii="Times New Roman" w:hAnsi="Times New Roman" w:cs="Times New Roman"/>
          <w:sz w:val="24"/>
          <w:szCs w:val="24"/>
        </w:rPr>
        <w:t>veido 160,7</w:t>
      </w:r>
      <w:r w:rsidR="00EF5E2C">
        <w:rPr>
          <w:rFonts w:ascii="Times New Roman" w:hAnsi="Times New Roman" w:cs="Times New Roman"/>
          <w:sz w:val="24"/>
          <w:szCs w:val="24"/>
        </w:rPr>
        <w:t xml:space="preserve"> </w:t>
      </w:r>
      <w:r w:rsidRPr="0087769D">
        <w:rPr>
          <w:rFonts w:ascii="Times New Roman" w:hAnsi="Times New Roman" w:cs="Times New Roman"/>
          <w:sz w:val="24"/>
          <w:szCs w:val="24"/>
        </w:rPr>
        <w:t xml:space="preserve">milj. </w:t>
      </w:r>
      <w:proofErr w:type="spellStart"/>
      <w:r w:rsidRPr="0087769D">
        <w:rPr>
          <w:rFonts w:ascii="Times New Roman" w:hAnsi="Times New Roman" w:cs="Times New Roman"/>
          <w:i/>
          <w:sz w:val="24"/>
          <w:szCs w:val="24"/>
        </w:rPr>
        <w:t>euro</w:t>
      </w:r>
      <w:proofErr w:type="spellEnd"/>
      <w:r w:rsidRPr="0087769D">
        <w:rPr>
          <w:rFonts w:ascii="Times New Roman" w:hAnsi="Times New Roman" w:cs="Times New Roman"/>
          <w:sz w:val="24"/>
          <w:szCs w:val="24"/>
        </w:rPr>
        <w:t xml:space="preserve"> jeb </w:t>
      </w:r>
      <w:r>
        <w:rPr>
          <w:rFonts w:ascii="Times New Roman" w:hAnsi="Times New Roman" w:cs="Times New Roman"/>
          <w:sz w:val="24"/>
          <w:szCs w:val="24"/>
        </w:rPr>
        <w:t>11</w:t>
      </w:r>
      <w:r w:rsidR="00EF5E2C">
        <w:rPr>
          <w:rFonts w:ascii="Times New Roman" w:hAnsi="Times New Roman" w:cs="Times New Roman"/>
          <w:sz w:val="24"/>
          <w:szCs w:val="24"/>
        </w:rPr>
        <w:t xml:space="preserve"> </w:t>
      </w:r>
      <w:r w:rsidRPr="0087769D">
        <w:rPr>
          <w:rFonts w:ascii="Times New Roman" w:hAnsi="Times New Roman" w:cs="Times New Roman"/>
          <w:sz w:val="24"/>
          <w:szCs w:val="24"/>
        </w:rPr>
        <w:t>% no Latvijā saražotās augkopības produkcijas vērtības. Augļkopības un dārzeņkopības saražotās produkcijas vērtība ir palielinājusies no 110</w:t>
      </w:r>
      <w:r>
        <w:rPr>
          <w:rFonts w:ascii="Times New Roman" w:hAnsi="Times New Roman" w:cs="Times New Roman"/>
          <w:sz w:val="24"/>
          <w:szCs w:val="24"/>
        </w:rPr>
        <w:t>,2</w:t>
      </w:r>
      <w:r w:rsidRPr="0087769D">
        <w:rPr>
          <w:rFonts w:ascii="Times New Roman" w:hAnsi="Times New Roman" w:cs="Times New Roman"/>
          <w:sz w:val="24"/>
          <w:szCs w:val="24"/>
        </w:rPr>
        <w:t xml:space="preserve"> milj. </w:t>
      </w:r>
      <w:proofErr w:type="spellStart"/>
      <w:r w:rsidRPr="0087769D">
        <w:rPr>
          <w:rFonts w:ascii="Times New Roman" w:hAnsi="Times New Roman" w:cs="Times New Roman"/>
          <w:i/>
          <w:iCs/>
          <w:sz w:val="24"/>
          <w:szCs w:val="24"/>
        </w:rPr>
        <w:t>euro</w:t>
      </w:r>
      <w:proofErr w:type="spellEnd"/>
      <w:r w:rsidRPr="0087769D">
        <w:rPr>
          <w:rFonts w:ascii="Times New Roman" w:hAnsi="Times New Roman" w:cs="Times New Roman"/>
          <w:sz w:val="24"/>
          <w:szCs w:val="24"/>
        </w:rPr>
        <w:t xml:space="preserve"> 2017.</w:t>
      </w:r>
      <w:r w:rsidR="00977424">
        <w:rPr>
          <w:rFonts w:ascii="Times New Roman" w:hAnsi="Times New Roman" w:cs="Times New Roman"/>
          <w:sz w:val="24"/>
          <w:szCs w:val="24"/>
        </w:rPr>
        <w:t xml:space="preserve"> </w:t>
      </w:r>
      <w:r w:rsidRPr="0087769D">
        <w:rPr>
          <w:rFonts w:ascii="Times New Roman" w:hAnsi="Times New Roman" w:cs="Times New Roman"/>
          <w:sz w:val="24"/>
          <w:szCs w:val="24"/>
        </w:rPr>
        <w:t>gadā līdz 160</w:t>
      </w:r>
      <w:r>
        <w:rPr>
          <w:rFonts w:ascii="Times New Roman" w:hAnsi="Times New Roman" w:cs="Times New Roman"/>
          <w:sz w:val="24"/>
          <w:szCs w:val="24"/>
        </w:rPr>
        <w:t>,7</w:t>
      </w:r>
      <w:r w:rsidRPr="0087769D">
        <w:rPr>
          <w:rFonts w:ascii="Times New Roman" w:hAnsi="Times New Roman" w:cs="Times New Roman"/>
          <w:sz w:val="24"/>
          <w:szCs w:val="24"/>
        </w:rPr>
        <w:t xml:space="preserve"> milj. </w:t>
      </w:r>
      <w:proofErr w:type="spellStart"/>
      <w:r w:rsidRPr="0087769D">
        <w:rPr>
          <w:rFonts w:ascii="Times New Roman" w:hAnsi="Times New Roman" w:cs="Times New Roman"/>
          <w:i/>
          <w:iCs/>
          <w:sz w:val="24"/>
          <w:szCs w:val="24"/>
        </w:rPr>
        <w:t>euro</w:t>
      </w:r>
      <w:proofErr w:type="spellEnd"/>
      <w:r w:rsidRPr="0087769D">
        <w:rPr>
          <w:rFonts w:ascii="Times New Roman" w:hAnsi="Times New Roman" w:cs="Times New Roman"/>
          <w:sz w:val="24"/>
          <w:szCs w:val="24"/>
        </w:rPr>
        <w:t xml:space="preserve"> </w:t>
      </w:r>
      <w:r>
        <w:rPr>
          <w:rFonts w:ascii="Times New Roman" w:hAnsi="Times New Roman" w:cs="Times New Roman"/>
          <w:sz w:val="24"/>
          <w:szCs w:val="24"/>
        </w:rPr>
        <w:t>2022</w:t>
      </w:r>
      <w:r w:rsidRPr="0087769D">
        <w:rPr>
          <w:rFonts w:ascii="Times New Roman" w:hAnsi="Times New Roman" w:cs="Times New Roman"/>
          <w:sz w:val="24"/>
          <w:szCs w:val="24"/>
        </w:rPr>
        <w:t>.</w:t>
      </w:r>
      <w:r w:rsidR="00903335">
        <w:rPr>
          <w:rFonts w:ascii="Times New Roman" w:hAnsi="Times New Roman" w:cs="Times New Roman"/>
          <w:sz w:val="24"/>
          <w:szCs w:val="24"/>
        </w:rPr>
        <w:t> </w:t>
      </w:r>
      <w:r w:rsidRPr="0087769D">
        <w:rPr>
          <w:rFonts w:ascii="Times New Roman" w:hAnsi="Times New Roman" w:cs="Times New Roman"/>
          <w:sz w:val="24"/>
          <w:szCs w:val="24"/>
        </w:rPr>
        <w:t>gadā. Kopumā palielinājums šajā periodā veido 50</w:t>
      </w:r>
      <w:r>
        <w:rPr>
          <w:rFonts w:ascii="Times New Roman" w:hAnsi="Times New Roman" w:cs="Times New Roman"/>
          <w:sz w:val="24"/>
          <w:szCs w:val="24"/>
        </w:rPr>
        <w:t>,5</w:t>
      </w:r>
      <w:r w:rsidRPr="0087769D">
        <w:rPr>
          <w:rFonts w:ascii="Times New Roman" w:hAnsi="Times New Roman" w:cs="Times New Roman"/>
          <w:sz w:val="24"/>
          <w:szCs w:val="24"/>
        </w:rPr>
        <w:t xml:space="preserve"> milj. </w:t>
      </w:r>
      <w:proofErr w:type="spellStart"/>
      <w:r w:rsidRPr="0087769D">
        <w:rPr>
          <w:rFonts w:ascii="Times New Roman" w:hAnsi="Times New Roman" w:cs="Times New Roman"/>
          <w:i/>
          <w:iCs/>
          <w:sz w:val="24"/>
          <w:szCs w:val="24"/>
        </w:rPr>
        <w:t>euro</w:t>
      </w:r>
      <w:proofErr w:type="spellEnd"/>
      <w:r w:rsidRPr="0087769D">
        <w:rPr>
          <w:rFonts w:ascii="Times New Roman" w:hAnsi="Times New Roman" w:cs="Times New Roman"/>
          <w:sz w:val="24"/>
          <w:szCs w:val="24"/>
        </w:rPr>
        <w:t xml:space="preserve"> </w:t>
      </w:r>
      <w:r w:rsidRPr="005D25DC">
        <w:rPr>
          <w:rFonts w:ascii="Times New Roman" w:hAnsi="Times New Roman" w:cs="Times New Roman"/>
          <w:sz w:val="24"/>
          <w:szCs w:val="24"/>
        </w:rPr>
        <w:t>jeb 46</w:t>
      </w:r>
      <w:r w:rsidR="00977424">
        <w:rPr>
          <w:rFonts w:ascii="Times New Roman" w:hAnsi="Times New Roman" w:cs="Times New Roman"/>
          <w:sz w:val="24"/>
          <w:szCs w:val="24"/>
        </w:rPr>
        <w:t> </w:t>
      </w:r>
      <w:r w:rsidRPr="005D25DC">
        <w:rPr>
          <w:rFonts w:ascii="Times New Roman" w:hAnsi="Times New Roman" w:cs="Times New Roman"/>
          <w:sz w:val="24"/>
          <w:szCs w:val="24"/>
        </w:rPr>
        <w:t>%</w:t>
      </w:r>
      <w:r w:rsidRPr="0087769D">
        <w:rPr>
          <w:rFonts w:ascii="Times New Roman" w:hAnsi="Times New Roman" w:cs="Times New Roman"/>
          <w:sz w:val="24"/>
          <w:szCs w:val="24"/>
        </w:rPr>
        <w:t xml:space="preserve"> </w:t>
      </w:r>
      <w:r w:rsidRPr="002A3BBE">
        <w:rPr>
          <w:rFonts w:ascii="Times New Roman" w:hAnsi="Times New Roman" w:cs="Times New Roman"/>
          <w:sz w:val="24"/>
          <w:szCs w:val="24"/>
        </w:rPr>
        <w:t>(10. attēls).</w:t>
      </w:r>
      <w:r w:rsidRPr="0087769D">
        <w:rPr>
          <w:rFonts w:ascii="Times New Roman" w:hAnsi="Times New Roman" w:cs="Times New Roman"/>
          <w:sz w:val="24"/>
          <w:szCs w:val="24"/>
        </w:rPr>
        <w:t xml:space="preserve"> </w:t>
      </w:r>
    </w:p>
    <w:p w14:paraId="184527C8" w14:textId="4A25C7A1" w:rsidR="00F16C8E" w:rsidRDefault="00365DAE" w:rsidP="00E04F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Vi</w:t>
      </w:r>
      <w:r w:rsidRPr="0087769D" w:rsidDel="006A732E">
        <w:rPr>
          <w:rFonts w:ascii="Times New Roman" w:hAnsi="Times New Roman" w:cs="Times New Roman"/>
          <w:sz w:val="24"/>
          <w:szCs w:val="24"/>
        </w:rPr>
        <w:t xml:space="preserve">slielākais saražotās produkcijas vērtības pieaugums no 2017. līdz </w:t>
      </w:r>
      <w:r>
        <w:rPr>
          <w:rFonts w:ascii="Times New Roman" w:hAnsi="Times New Roman" w:cs="Times New Roman"/>
          <w:sz w:val="24"/>
          <w:szCs w:val="24"/>
        </w:rPr>
        <w:t>2022</w:t>
      </w:r>
      <w:r w:rsidRPr="0087769D" w:rsidDel="006A732E">
        <w:rPr>
          <w:rFonts w:ascii="Times New Roman" w:hAnsi="Times New Roman" w:cs="Times New Roman"/>
          <w:sz w:val="24"/>
          <w:szCs w:val="24"/>
        </w:rPr>
        <w:t>.</w:t>
      </w:r>
      <w:r w:rsidR="00903335">
        <w:rPr>
          <w:rFonts w:ascii="Times New Roman" w:hAnsi="Times New Roman" w:cs="Times New Roman"/>
          <w:sz w:val="24"/>
          <w:szCs w:val="24"/>
        </w:rPr>
        <w:t xml:space="preserve"> </w:t>
      </w:r>
      <w:r w:rsidRPr="0087769D" w:rsidDel="006A732E">
        <w:rPr>
          <w:rFonts w:ascii="Times New Roman" w:hAnsi="Times New Roman" w:cs="Times New Roman"/>
          <w:sz w:val="24"/>
          <w:szCs w:val="24"/>
        </w:rPr>
        <w:t xml:space="preserve">gadam novērojams </w:t>
      </w:r>
      <w:r>
        <w:rPr>
          <w:rFonts w:ascii="Times New Roman" w:hAnsi="Times New Roman" w:cs="Times New Roman"/>
          <w:sz w:val="24"/>
          <w:szCs w:val="24"/>
        </w:rPr>
        <w:t>augļkopības</w:t>
      </w:r>
      <w:r w:rsidRPr="0087769D">
        <w:rPr>
          <w:rFonts w:ascii="Times New Roman" w:hAnsi="Times New Roman" w:cs="Times New Roman"/>
          <w:sz w:val="24"/>
          <w:szCs w:val="24"/>
        </w:rPr>
        <w:t xml:space="preserve"> </w:t>
      </w:r>
      <w:r w:rsidRPr="0087769D" w:rsidDel="006A732E">
        <w:rPr>
          <w:rFonts w:ascii="Times New Roman" w:hAnsi="Times New Roman" w:cs="Times New Roman"/>
          <w:sz w:val="24"/>
          <w:szCs w:val="24"/>
        </w:rPr>
        <w:t>nozarē</w:t>
      </w:r>
      <w:r w:rsidRPr="0087769D">
        <w:rPr>
          <w:rFonts w:ascii="Times New Roman" w:hAnsi="Times New Roman" w:cs="Times New Roman"/>
          <w:sz w:val="24"/>
          <w:szCs w:val="24"/>
        </w:rPr>
        <w:t>:</w:t>
      </w:r>
      <w:r w:rsidRPr="0087769D" w:rsidDel="006A732E">
        <w:rPr>
          <w:rFonts w:ascii="Times New Roman" w:hAnsi="Times New Roman" w:cs="Times New Roman"/>
          <w:sz w:val="24"/>
          <w:szCs w:val="24"/>
        </w:rPr>
        <w:t xml:space="preserve"> 2017.</w:t>
      </w:r>
      <w:r w:rsidR="00EF5E2C">
        <w:rPr>
          <w:rFonts w:ascii="Times New Roman" w:hAnsi="Times New Roman" w:cs="Times New Roman"/>
          <w:sz w:val="24"/>
          <w:szCs w:val="24"/>
        </w:rPr>
        <w:t xml:space="preserve"> </w:t>
      </w:r>
      <w:r w:rsidRPr="0087769D" w:rsidDel="006A732E">
        <w:rPr>
          <w:rFonts w:ascii="Times New Roman" w:hAnsi="Times New Roman" w:cs="Times New Roman"/>
          <w:sz w:val="24"/>
          <w:szCs w:val="24"/>
        </w:rPr>
        <w:t xml:space="preserve">gadā Latvijā </w:t>
      </w:r>
      <w:r>
        <w:rPr>
          <w:rFonts w:ascii="Times New Roman" w:hAnsi="Times New Roman" w:cs="Times New Roman"/>
          <w:sz w:val="24"/>
          <w:szCs w:val="24"/>
        </w:rPr>
        <w:t>augļu un ogu</w:t>
      </w:r>
      <w:r w:rsidRPr="0087769D" w:rsidDel="006A732E">
        <w:rPr>
          <w:rFonts w:ascii="Times New Roman" w:hAnsi="Times New Roman" w:cs="Times New Roman"/>
          <w:sz w:val="24"/>
          <w:szCs w:val="24"/>
        </w:rPr>
        <w:t xml:space="preserve"> produkcij</w:t>
      </w:r>
      <w:r w:rsidRPr="0087769D">
        <w:rPr>
          <w:rFonts w:ascii="Times New Roman" w:hAnsi="Times New Roman" w:cs="Times New Roman"/>
          <w:sz w:val="24"/>
          <w:szCs w:val="24"/>
        </w:rPr>
        <w:t>a</w:t>
      </w:r>
      <w:r w:rsidRPr="0087769D" w:rsidDel="006A732E">
        <w:rPr>
          <w:rFonts w:ascii="Times New Roman" w:hAnsi="Times New Roman" w:cs="Times New Roman"/>
          <w:sz w:val="24"/>
          <w:szCs w:val="24"/>
        </w:rPr>
        <w:t xml:space="preserve"> </w:t>
      </w:r>
      <w:r w:rsidRPr="0087769D">
        <w:rPr>
          <w:rFonts w:ascii="Times New Roman" w:hAnsi="Times New Roman" w:cs="Times New Roman"/>
          <w:sz w:val="24"/>
          <w:szCs w:val="24"/>
        </w:rPr>
        <w:t>saražota</w:t>
      </w:r>
      <w:r w:rsidRPr="0087769D" w:rsidDel="006A732E">
        <w:rPr>
          <w:rFonts w:ascii="Times New Roman" w:hAnsi="Times New Roman" w:cs="Times New Roman"/>
          <w:sz w:val="24"/>
          <w:szCs w:val="24"/>
        </w:rPr>
        <w:t xml:space="preserve"> </w:t>
      </w:r>
      <w:r>
        <w:rPr>
          <w:rFonts w:ascii="Times New Roman" w:hAnsi="Times New Roman" w:cs="Times New Roman"/>
          <w:sz w:val="24"/>
          <w:szCs w:val="24"/>
        </w:rPr>
        <w:t>53</w:t>
      </w:r>
      <w:r w:rsidR="00903335">
        <w:rPr>
          <w:rFonts w:ascii="Times New Roman" w:hAnsi="Times New Roman" w:cs="Times New Roman"/>
          <w:sz w:val="24"/>
          <w:szCs w:val="24"/>
        </w:rPr>
        <w:t> </w:t>
      </w:r>
      <w:r w:rsidRPr="0087769D" w:rsidDel="006A732E">
        <w:rPr>
          <w:rFonts w:ascii="Times New Roman" w:hAnsi="Times New Roman" w:cs="Times New Roman"/>
          <w:sz w:val="24"/>
          <w:szCs w:val="24"/>
        </w:rPr>
        <w:t>milj.</w:t>
      </w:r>
      <w:r w:rsidR="00903335">
        <w:rPr>
          <w:rFonts w:ascii="Times New Roman" w:hAnsi="Times New Roman" w:cs="Times New Roman"/>
          <w:sz w:val="24"/>
          <w:szCs w:val="24"/>
        </w:rPr>
        <w:t> </w:t>
      </w:r>
      <w:proofErr w:type="spellStart"/>
      <w:r w:rsidRPr="0087769D" w:rsidDel="006A732E">
        <w:rPr>
          <w:rFonts w:ascii="Times New Roman" w:hAnsi="Times New Roman" w:cs="Times New Roman"/>
          <w:i/>
          <w:sz w:val="24"/>
          <w:szCs w:val="24"/>
        </w:rPr>
        <w:t>euro</w:t>
      </w:r>
      <w:proofErr w:type="spellEnd"/>
      <w:r w:rsidRPr="0087769D" w:rsidDel="006A732E">
        <w:rPr>
          <w:rFonts w:ascii="Times New Roman" w:hAnsi="Times New Roman" w:cs="Times New Roman"/>
          <w:sz w:val="24"/>
          <w:szCs w:val="24"/>
        </w:rPr>
        <w:t xml:space="preserve"> apmērā, </w:t>
      </w:r>
      <w:r>
        <w:rPr>
          <w:rFonts w:ascii="Times New Roman" w:hAnsi="Times New Roman" w:cs="Times New Roman"/>
          <w:sz w:val="24"/>
          <w:szCs w:val="24"/>
        </w:rPr>
        <w:t>savukārt</w:t>
      </w:r>
      <w:r w:rsidRPr="0087769D" w:rsidDel="006A732E">
        <w:rPr>
          <w:rFonts w:ascii="Times New Roman" w:hAnsi="Times New Roman" w:cs="Times New Roman"/>
          <w:sz w:val="24"/>
          <w:szCs w:val="24"/>
        </w:rPr>
        <w:t xml:space="preserve"> </w:t>
      </w:r>
      <w:r>
        <w:rPr>
          <w:rFonts w:ascii="Times New Roman" w:hAnsi="Times New Roman" w:cs="Times New Roman"/>
          <w:sz w:val="24"/>
          <w:szCs w:val="24"/>
        </w:rPr>
        <w:t>2022</w:t>
      </w:r>
      <w:r w:rsidRPr="0087769D" w:rsidDel="006A732E">
        <w:rPr>
          <w:rFonts w:ascii="Times New Roman" w:hAnsi="Times New Roman" w:cs="Times New Roman"/>
          <w:sz w:val="24"/>
          <w:szCs w:val="24"/>
        </w:rPr>
        <w:t>.</w:t>
      </w:r>
      <w:r w:rsidR="00EF5E2C">
        <w:rPr>
          <w:rFonts w:ascii="Times New Roman" w:hAnsi="Times New Roman" w:cs="Times New Roman"/>
          <w:sz w:val="24"/>
          <w:szCs w:val="24"/>
        </w:rPr>
        <w:t xml:space="preserve"> </w:t>
      </w:r>
      <w:r w:rsidRPr="0087769D" w:rsidDel="006A732E">
        <w:rPr>
          <w:rFonts w:ascii="Times New Roman" w:hAnsi="Times New Roman" w:cs="Times New Roman"/>
          <w:sz w:val="24"/>
          <w:szCs w:val="24"/>
        </w:rPr>
        <w:t>gadā –</w:t>
      </w:r>
      <w:r w:rsidRPr="0087769D">
        <w:rPr>
          <w:rFonts w:ascii="Times New Roman" w:hAnsi="Times New Roman" w:cs="Times New Roman"/>
          <w:sz w:val="24"/>
          <w:szCs w:val="24"/>
        </w:rPr>
        <w:t xml:space="preserve"> jau </w:t>
      </w:r>
      <w:r>
        <w:rPr>
          <w:rFonts w:ascii="Times New Roman" w:hAnsi="Times New Roman" w:cs="Times New Roman"/>
          <w:sz w:val="24"/>
          <w:szCs w:val="24"/>
        </w:rPr>
        <w:t>83</w:t>
      </w:r>
      <w:r w:rsidRPr="0087769D" w:rsidDel="006A732E">
        <w:rPr>
          <w:rFonts w:ascii="Times New Roman" w:hAnsi="Times New Roman" w:cs="Times New Roman"/>
          <w:sz w:val="24"/>
          <w:szCs w:val="24"/>
        </w:rPr>
        <w:t xml:space="preserve"> milj. </w:t>
      </w:r>
      <w:proofErr w:type="spellStart"/>
      <w:r w:rsidRPr="0087769D" w:rsidDel="006A732E">
        <w:rPr>
          <w:rFonts w:ascii="Times New Roman" w:hAnsi="Times New Roman" w:cs="Times New Roman"/>
          <w:i/>
          <w:sz w:val="24"/>
          <w:szCs w:val="24"/>
        </w:rPr>
        <w:t>euro</w:t>
      </w:r>
      <w:proofErr w:type="spellEnd"/>
      <w:r w:rsidRPr="0087769D" w:rsidDel="006A732E">
        <w:rPr>
          <w:rFonts w:ascii="Times New Roman" w:hAnsi="Times New Roman" w:cs="Times New Roman"/>
          <w:sz w:val="24"/>
          <w:szCs w:val="24"/>
        </w:rPr>
        <w:t xml:space="preserve"> apmērā</w:t>
      </w:r>
      <w:r w:rsidRPr="0087769D">
        <w:rPr>
          <w:rFonts w:ascii="Times New Roman" w:hAnsi="Times New Roman" w:cs="Times New Roman"/>
          <w:sz w:val="24"/>
          <w:szCs w:val="24"/>
        </w:rPr>
        <w:t>, t.i.,</w:t>
      </w:r>
      <w:r w:rsidRPr="0087769D" w:rsidDel="006A732E">
        <w:rPr>
          <w:rFonts w:ascii="Times New Roman" w:hAnsi="Times New Roman" w:cs="Times New Roman"/>
          <w:sz w:val="24"/>
          <w:szCs w:val="24"/>
        </w:rPr>
        <w:t xml:space="preserve"> </w:t>
      </w:r>
      <w:r w:rsidRPr="00FC3EE9" w:rsidDel="006A732E">
        <w:rPr>
          <w:rFonts w:ascii="Times New Roman" w:hAnsi="Times New Roman" w:cs="Times New Roman"/>
          <w:sz w:val="24"/>
          <w:szCs w:val="24"/>
        </w:rPr>
        <w:t xml:space="preserve">par </w:t>
      </w:r>
      <w:r w:rsidRPr="00FC3EE9">
        <w:rPr>
          <w:rFonts w:ascii="Times New Roman" w:hAnsi="Times New Roman" w:cs="Times New Roman"/>
          <w:sz w:val="24"/>
          <w:szCs w:val="24"/>
        </w:rPr>
        <w:t>96</w:t>
      </w:r>
      <w:r w:rsidR="00977424">
        <w:rPr>
          <w:rFonts w:ascii="Times New Roman" w:hAnsi="Times New Roman" w:cs="Times New Roman"/>
          <w:sz w:val="24"/>
          <w:szCs w:val="24"/>
        </w:rPr>
        <w:t> </w:t>
      </w:r>
      <w:r w:rsidRPr="00FC3EE9" w:rsidDel="006A732E">
        <w:rPr>
          <w:rFonts w:ascii="Times New Roman" w:hAnsi="Times New Roman" w:cs="Times New Roman"/>
          <w:sz w:val="24"/>
          <w:szCs w:val="24"/>
        </w:rPr>
        <w:t>%</w:t>
      </w:r>
      <w:r w:rsidRPr="0087769D" w:rsidDel="006A732E">
        <w:rPr>
          <w:rFonts w:ascii="Times New Roman" w:hAnsi="Times New Roman" w:cs="Times New Roman"/>
          <w:sz w:val="24"/>
          <w:szCs w:val="24"/>
        </w:rPr>
        <w:t xml:space="preserve"> vairāk nekā 2017.</w:t>
      </w:r>
      <w:r w:rsidR="00977424">
        <w:rPr>
          <w:rFonts w:ascii="Times New Roman" w:hAnsi="Times New Roman" w:cs="Times New Roman"/>
          <w:sz w:val="24"/>
          <w:szCs w:val="24"/>
        </w:rPr>
        <w:t> </w:t>
      </w:r>
      <w:r w:rsidRPr="0087769D" w:rsidDel="006A732E">
        <w:rPr>
          <w:rFonts w:ascii="Times New Roman" w:hAnsi="Times New Roman" w:cs="Times New Roman"/>
          <w:sz w:val="24"/>
          <w:szCs w:val="24"/>
        </w:rPr>
        <w:t>gadā.</w:t>
      </w:r>
      <w:r w:rsidR="00E04F57">
        <w:rPr>
          <w:rFonts w:ascii="Times New Roman" w:hAnsi="Times New Roman" w:cs="Times New Roman"/>
          <w:sz w:val="24"/>
          <w:szCs w:val="24"/>
        </w:rPr>
        <w:t xml:space="preserve"> </w:t>
      </w:r>
      <w:r w:rsidRPr="00035764">
        <w:rPr>
          <w:rFonts w:ascii="Times New Roman" w:hAnsi="Times New Roman" w:cs="Times New Roman"/>
          <w:sz w:val="24"/>
          <w:szCs w:val="24"/>
        </w:rPr>
        <w:t>2020. un 2021.</w:t>
      </w:r>
      <w:r w:rsidR="00903335">
        <w:rPr>
          <w:rFonts w:ascii="Times New Roman" w:hAnsi="Times New Roman" w:cs="Times New Roman"/>
          <w:sz w:val="24"/>
          <w:szCs w:val="24"/>
        </w:rPr>
        <w:t> </w:t>
      </w:r>
      <w:r w:rsidRPr="00035764">
        <w:rPr>
          <w:rFonts w:ascii="Times New Roman" w:hAnsi="Times New Roman" w:cs="Times New Roman"/>
          <w:sz w:val="24"/>
          <w:szCs w:val="24"/>
        </w:rPr>
        <w:t>g</w:t>
      </w:r>
      <w:r>
        <w:rPr>
          <w:rFonts w:ascii="Times New Roman" w:hAnsi="Times New Roman" w:cs="Times New Roman"/>
          <w:sz w:val="24"/>
          <w:szCs w:val="24"/>
        </w:rPr>
        <w:t xml:space="preserve">adā </w:t>
      </w:r>
      <w:proofErr w:type="spellStart"/>
      <w:r>
        <w:rPr>
          <w:rFonts w:ascii="Times New Roman" w:hAnsi="Times New Roman" w:cs="Times New Roman"/>
          <w:sz w:val="24"/>
          <w:szCs w:val="24"/>
        </w:rPr>
        <w:t>Covid</w:t>
      </w:r>
      <w:r w:rsidR="00EF5E2C">
        <w:rPr>
          <w:rFonts w:ascii="Times New Roman" w:hAnsi="Times New Roman" w:cs="Times New Roman"/>
          <w:sz w:val="24"/>
          <w:szCs w:val="24"/>
        </w:rPr>
        <w:t>-</w:t>
      </w:r>
      <w:r>
        <w:rPr>
          <w:rFonts w:ascii="Times New Roman" w:hAnsi="Times New Roman" w:cs="Times New Roman"/>
          <w:sz w:val="24"/>
          <w:szCs w:val="24"/>
        </w:rPr>
        <w:t>19</w:t>
      </w:r>
      <w:proofErr w:type="spellEnd"/>
      <w:r>
        <w:rPr>
          <w:rFonts w:ascii="Times New Roman" w:hAnsi="Times New Roman" w:cs="Times New Roman"/>
          <w:sz w:val="24"/>
          <w:szCs w:val="24"/>
        </w:rPr>
        <w:t xml:space="preserve"> un nelabvēlīgo laikapstākļu ietekmē būtisk</w:t>
      </w:r>
      <w:r w:rsidR="00F16C8E">
        <w:rPr>
          <w:rFonts w:ascii="Times New Roman" w:hAnsi="Times New Roman" w:cs="Times New Roman"/>
          <w:sz w:val="24"/>
          <w:szCs w:val="24"/>
        </w:rPr>
        <w:t>i</w:t>
      </w:r>
      <w:r>
        <w:rPr>
          <w:rFonts w:ascii="Times New Roman" w:hAnsi="Times New Roman" w:cs="Times New Roman"/>
          <w:sz w:val="24"/>
          <w:szCs w:val="24"/>
        </w:rPr>
        <w:t xml:space="preserve"> samazinājās kartupeļu nozares izlaide</w:t>
      </w:r>
      <w:r w:rsidR="00F16C8E">
        <w:rPr>
          <w:rFonts w:ascii="Times New Roman" w:hAnsi="Times New Roman" w:cs="Times New Roman"/>
          <w:sz w:val="24"/>
          <w:szCs w:val="24"/>
        </w:rPr>
        <w:t>s vērtība</w:t>
      </w:r>
      <w:r>
        <w:rPr>
          <w:rFonts w:ascii="Times New Roman" w:hAnsi="Times New Roman" w:cs="Times New Roman"/>
          <w:sz w:val="24"/>
          <w:szCs w:val="24"/>
        </w:rPr>
        <w:t>.</w:t>
      </w:r>
      <w:r w:rsidRPr="00035764">
        <w:rPr>
          <w:rFonts w:ascii="Times New Roman" w:hAnsi="Times New Roman" w:cs="Times New Roman"/>
          <w:sz w:val="24"/>
          <w:szCs w:val="24"/>
        </w:rPr>
        <w:t xml:space="preserve"> </w:t>
      </w:r>
      <w:r>
        <w:rPr>
          <w:rFonts w:ascii="Times New Roman" w:hAnsi="Times New Roman" w:cs="Times New Roman"/>
          <w:sz w:val="24"/>
          <w:szCs w:val="24"/>
        </w:rPr>
        <w:t xml:space="preserve">Tāpat cenas krituma dēļ </w:t>
      </w:r>
      <w:r w:rsidR="00442B17" w:rsidRPr="00035764">
        <w:rPr>
          <w:rFonts w:ascii="Times New Roman" w:hAnsi="Times New Roman" w:cs="Times New Roman"/>
          <w:sz w:val="24"/>
          <w:szCs w:val="24"/>
        </w:rPr>
        <w:t>2020. un 2021.</w:t>
      </w:r>
      <w:r w:rsidR="00442B17">
        <w:rPr>
          <w:rFonts w:ascii="Times New Roman" w:hAnsi="Times New Roman" w:cs="Times New Roman"/>
          <w:sz w:val="24"/>
          <w:szCs w:val="24"/>
        </w:rPr>
        <w:t> </w:t>
      </w:r>
      <w:r w:rsidR="00442B17" w:rsidRPr="00035764">
        <w:rPr>
          <w:rFonts w:ascii="Times New Roman" w:hAnsi="Times New Roman" w:cs="Times New Roman"/>
          <w:sz w:val="24"/>
          <w:szCs w:val="24"/>
        </w:rPr>
        <w:t>g</w:t>
      </w:r>
      <w:r w:rsidR="00442B17">
        <w:rPr>
          <w:rFonts w:ascii="Times New Roman" w:hAnsi="Times New Roman" w:cs="Times New Roman"/>
          <w:sz w:val="24"/>
          <w:szCs w:val="24"/>
        </w:rPr>
        <w:t xml:space="preserve">adā </w:t>
      </w:r>
      <w:r>
        <w:rPr>
          <w:rFonts w:ascii="Times New Roman" w:hAnsi="Times New Roman" w:cs="Times New Roman"/>
          <w:sz w:val="24"/>
          <w:szCs w:val="24"/>
        </w:rPr>
        <w:t>samazinājās dārzeņu nozares izlaides īpatsvars.</w:t>
      </w:r>
      <w:r w:rsidR="00F16C8E" w:rsidRPr="00F16C8E">
        <w:rPr>
          <w:rFonts w:ascii="Times New Roman" w:hAnsi="Times New Roman" w:cs="Times New Roman"/>
          <w:sz w:val="24"/>
          <w:szCs w:val="24"/>
        </w:rPr>
        <w:t xml:space="preserve"> </w:t>
      </w:r>
    </w:p>
    <w:p w14:paraId="5F5672DF" w14:textId="77777777" w:rsidR="00365DAE" w:rsidRPr="0087769D" w:rsidDel="006A732E" w:rsidRDefault="00365DAE" w:rsidP="00C262FD">
      <w:pPr>
        <w:spacing w:before="120" w:after="120" w:line="240" w:lineRule="auto"/>
        <w:jc w:val="both"/>
        <w:rPr>
          <w:rFonts w:ascii="Times New Roman" w:hAnsi="Times New Roman" w:cs="Times New Roman"/>
          <w:sz w:val="24"/>
          <w:szCs w:val="24"/>
        </w:rPr>
      </w:pPr>
      <w:r>
        <w:rPr>
          <w:noProof/>
          <w:lang w:eastAsia="lv-LV"/>
        </w:rPr>
        <w:drawing>
          <wp:inline distT="0" distB="0" distL="0" distR="0" wp14:anchorId="222E5DA5" wp14:editId="49B3EB8E">
            <wp:extent cx="5831840" cy="3316224"/>
            <wp:effectExtent l="0" t="0" r="16510" b="17780"/>
            <wp:docPr id="5" name="Chart 5">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81C21C" w14:textId="3D12A920" w:rsidR="00365DAE" w:rsidRPr="00734F1A" w:rsidRDefault="00365DAE" w:rsidP="00365DAE">
      <w:pPr>
        <w:spacing w:after="0" w:line="240" w:lineRule="auto"/>
        <w:ind w:firstLine="709"/>
        <w:jc w:val="both"/>
        <w:rPr>
          <w:rFonts w:ascii="Times New Roman" w:hAnsi="Times New Roman" w:cs="Times New Roman"/>
          <w:sz w:val="24"/>
          <w:szCs w:val="24"/>
        </w:rPr>
      </w:pPr>
      <w:r w:rsidRPr="009D3D0E">
        <w:rPr>
          <w:rFonts w:ascii="Times New Roman" w:hAnsi="Times New Roman" w:cs="Times New Roman"/>
          <w:sz w:val="24"/>
          <w:szCs w:val="24"/>
        </w:rPr>
        <w:t>10.</w:t>
      </w:r>
      <w:r w:rsidR="00BF2A42" w:rsidRPr="009D3D0E">
        <w:rPr>
          <w:rFonts w:ascii="Times New Roman" w:hAnsi="Times New Roman" w:cs="Times New Roman"/>
          <w:sz w:val="24"/>
          <w:szCs w:val="24"/>
        </w:rPr>
        <w:t> </w:t>
      </w:r>
      <w:r w:rsidRPr="009D3D0E">
        <w:rPr>
          <w:rFonts w:ascii="Times New Roman" w:hAnsi="Times New Roman" w:cs="Times New Roman"/>
          <w:sz w:val="24"/>
          <w:szCs w:val="24"/>
        </w:rPr>
        <w:t>attēls.</w:t>
      </w:r>
      <w:r w:rsidRPr="00734F1A">
        <w:rPr>
          <w:rFonts w:ascii="Times New Roman" w:hAnsi="Times New Roman" w:cs="Times New Roman"/>
          <w:sz w:val="24"/>
          <w:szCs w:val="24"/>
        </w:rPr>
        <w:t xml:space="preserve"> Augļu, ogu un dārzeņu (t</w:t>
      </w:r>
      <w:r>
        <w:rPr>
          <w:rFonts w:ascii="Times New Roman" w:hAnsi="Times New Roman" w:cs="Times New Roman"/>
          <w:sz w:val="24"/>
          <w:szCs w:val="24"/>
        </w:rPr>
        <w:t>ostarp</w:t>
      </w:r>
      <w:r w:rsidRPr="00734F1A">
        <w:rPr>
          <w:rFonts w:ascii="Times New Roman" w:hAnsi="Times New Roman" w:cs="Times New Roman"/>
          <w:sz w:val="24"/>
          <w:szCs w:val="24"/>
        </w:rPr>
        <w:t xml:space="preserve"> kartupeļu) saražotās produkcijas un ārējās tirdzniecības vērtības dinamika no 2017. līdz </w:t>
      </w:r>
      <w:r>
        <w:rPr>
          <w:rFonts w:ascii="Times New Roman" w:hAnsi="Times New Roman" w:cs="Times New Roman"/>
          <w:sz w:val="24"/>
          <w:szCs w:val="24"/>
        </w:rPr>
        <w:t>2022</w:t>
      </w:r>
      <w:r w:rsidRPr="00734F1A">
        <w:rPr>
          <w:rFonts w:ascii="Times New Roman" w:hAnsi="Times New Roman" w:cs="Times New Roman"/>
          <w:sz w:val="24"/>
          <w:szCs w:val="24"/>
        </w:rPr>
        <w:t>.</w:t>
      </w:r>
      <w:r w:rsidR="00BF2A42">
        <w:rPr>
          <w:rFonts w:ascii="Times New Roman" w:hAnsi="Times New Roman" w:cs="Times New Roman"/>
          <w:sz w:val="24"/>
          <w:szCs w:val="24"/>
        </w:rPr>
        <w:t> </w:t>
      </w:r>
      <w:r w:rsidRPr="00734F1A">
        <w:rPr>
          <w:rFonts w:ascii="Times New Roman" w:hAnsi="Times New Roman" w:cs="Times New Roman"/>
          <w:sz w:val="24"/>
          <w:szCs w:val="24"/>
        </w:rPr>
        <w:t>gadam</w:t>
      </w:r>
      <w:r w:rsidR="00E53959">
        <w:rPr>
          <w:rFonts w:ascii="Times New Roman" w:hAnsi="Times New Roman" w:cs="Times New Roman"/>
          <w:sz w:val="24"/>
          <w:szCs w:val="24"/>
        </w:rPr>
        <w:t>,</w:t>
      </w:r>
      <w:r w:rsidRPr="00734F1A">
        <w:rPr>
          <w:rFonts w:ascii="Times New Roman" w:hAnsi="Times New Roman" w:cs="Times New Roman"/>
          <w:sz w:val="24"/>
          <w:szCs w:val="24"/>
        </w:rPr>
        <w:t xml:space="preserve"> milj.</w:t>
      </w:r>
      <w:r w:rsidR="00BF2A42">
        <w:rPr>
          <w:rFonts w:ascii="Times New Roman" w:hAnsi="Times New Roman" w:cs="Times New Roman"/>
          <w:sz w:val="24"/>
          <w:szCs w:val="24"/>
        </w:rPr>
        <w:t> </w:t>
      </w:r>
      <w:proofErr w:type="spellStart"/>
      <w:r w:rsidRPr="00734F1A">
        <w:rPr>
          <w:rFonts w:ascii="Times New Roman" w:hAnsi="Times New Roman" w:cs="Times New Roman"/>
          <w:i/>
          <w:iCs/>
          <w:sz w:val="24"/>
          <w:szCs w:val="24"/>
        </w:rPr>
        <w:t>euro</w:t>
      </w:r>
      <w:proofErr w:type="spellEnd"/>
      <w:r w:rsidRPr="00734F1A">
        <w:rPr>
          <w:rFonts w:ascii="Times New Roman" w:hAnsi="Times New Roman" w:cs="Times New Roman"/>
          <w:sz w:val="24"/>
          <w:szCs w:val="24"/>
        </w:rPr>
        <w:t>.</w:t>
      </w:r>
    </w:p>
    <w:p w14:paraId="170071A2" w14:textId="5C89DC3E" w:rsidR="00365DAE" w:rsidRPr="00734F1A" w:rsidRDefault="00365DAE" w:rsidP="00365DAE">
      <w:pPr>
        <w:spacing w:line="240" w:lineRule="auto"/>
        <w:ind w:right="-19" w:firstLine="720"/>
        <w:jc w:val="both"/>
        <w:rPr>
          <w:rFonts w:ascii="Times New Roman" w:hAnsi="Times New Roman" w:cs="Times New Roman"/>
          <w:sz w:val="20"/>
          <w:szCs w:val="20"/>
        </w:rPr>
      </w:pPr>
      <w:r w:rsidRPr="00734F1A">
        <w:rPr>
          <w:rFonts w:ascii="Times New Roman" w:hAnsi="Times New Roman" w:cs="Times New Roman"/>
          <w:i/>
          <w:sz w:val="20"/>
          <w:szCs w:val="20"/>
        </w:rPr>
        <w:t xml:space="preserve">Avots: </w:t>
      </w:r>
      <w:r w:rsidRPr="00734F1A">
        <w:rPr>
          <w:rFonts w:ascii="Times New Roman" w:hAnsi="Times New Roman" w:cs="Times New Roman"/>
          <w:sz w:val="20"/>
          <w:szCs w:val="20"/>
        </w:rPr>
        <w:t xml:space="preserve">ZM pēc </w:t>
      </w:r>
      <w:r w:rsidRPr="00C50B0D">
        <w:rPr>
          <w:rFonts w:ascii="Times New Roman" w:hAnsi="Times New Roman" w:cs="Times New Roman"/>
          <w:i/>
          <w:sz w:val="20"/>
          <w:szCs w:val="20"/>
        </w:rPr>
        <w:t>Eurostat</w:t>
      </w:r>
      <w:r w:rsidRPr="00734F1A">
        <w:rPr>
          <w:rFonts w:ascii="Times New Roman" w:hAnsi="Times New Roman" w:cs="Times New Roman"/>
          <w:sz w:val="20"/>
          <w:szCs w:val="20"/>
        </w:rPr>
        <w:t xml:space="preserve"> un </w:t>
      </w:r>
      <w:proofErr w:type="spellStart"/>
      <w:r w:rsidRPr="00734F1A">
        <w:rPr>
          <w:rFonts w:ascii="Times New Roman" w:hAnsi="Times New Roman" w:cs="Times New Roman"/>
          <w:sz w:val="20"/>
          <w:szCs w:val="20"/>
        </w:rPr>
        <w:t>Agroresursu</w:t>
      </w:r>
      <w:proofErr w:type="spellEnd"/>
      <w:r w:rsidRPr="00734F1A">
        <w:rPr>
          <w:rFonts w:ascii="Times New Roman" w:hAnsi="Times New Roman" w:cs="Times New Roman"/>
          <w:sz w:val="20"/>
          <w:szCs w:val="20"/>
        </w:rPr>
        <w:t xml:space="preserve"> un ekonomikas institūta datiem</w:t>
      </w:r>
    </w:p>
    <w:p w14:paraId="7302093B" w14:textId="77777777" w:rsidR="00041792" w:rsidRDefault="00041792" w:rsidP="00041792">
      <w:pPr>
        <w:spacing w:after="0" w:line="240" w:lineRule="auto"/>
        <w:ind w:firstLine="720"/>
        <w:jc w:val="both"/>
        <w:rPr>
          <w:rFonts w:ascii="Times New Roman" w:hAnsi="Times New Roman" w:cs="Times New Roman"/>
          <w:sz w:val="24"/>
          <w:szCs w:val="24"/>
        </w:rPr>
      </w:pPr>
      <w:r w:rsidRPr="0087769D">
        <w:rPr>
          <w:rFonts w:ascii="Times New Roman" w:hAnsi="Times New Roman" w:cs="Times New Roman"/>
          <w:sz w:val="24"/>
          <w:szCs w:val="24"/>
        </w:rPr>
        <w:lastRenderedPageBreak/>
        <w:t xml:space="preserve">Saskaņā ar </w:t>
      </w:r>
      <w:r w:rsidRPr="0087769D">
        <w:rPr>
          <w:rFonts w:ascii="Times New Roman" w:hAnsi="Times New Roman" w:cs="Times New Roman"/>
          <w:i/>
          <w:iCs/>
          <w:sz w:val="24"/>
          <w:szCs w:val="24"/>
        </w:rPr>
        <w:t>Eurostat</w:t>
      </w:r>
      <w:r w:rsidRPr="0087769D">
        <w:rPr>
          <w:rFonts w:ascii="Times New Roman" w:hAnsi="Times New Roman" w:cs="Times New Roman"/>
          <w:sz w:val="24"/>
          <w:szCs w:val="24"/>
        </w:rPr>
        <w:t xml:space="preserve"> informāciju augļu, ogu un dārzeņu (tostarp kartupeļu) eksporta vērtības pieaugums no 2017.</w:t>
      </w:r>
      <w:r>
        <w:rPr>
          <w:rFonts w:ascii="Times New Roman" w:hAnsi="Times New Roman" w:cs="Times New Roman"/>
          <w:sz w:val="24"/>
          <w:szCs w:val="24"/>
        </w:rPr>
        <w:t> </w:t>
      </w:r>
      <w:r w:rsidRPr="0087769D">
        <w:rPr>
          <w:rFonts w:ascii="Times New Roman" w:hAnsi="Times New Roman" w:cs="Times New Roman"/>
          <w:sz w:val="24"/>
          <w:szCs w:val="24"/>
        </w:rPr>
        <w:t xml:space="preserve">līdz </w:t>
      </w:r>
      <w:r>
        <w:rPr>
          <w:rFonts w:ascii="Times New Roman" w:hAnsi="Times New Roman" w:cs="Times New Roman"/>
          <w:sz w:val="24"/>
          <w:szCs w:val="24"/>
        </w:rPr>
        <w:t>2022</w:t>
      </w:r>
      <w:r w:rsidRPr="0087769D">
        <w:rPr>
          <w:rFonts w:ascii="Times New Roman" w:hAnsi="Times New Roman" w:cs="Times New Roman"/>
          <w:sz w:val="24"/>
          <w:szCs w:val="24"/>
        </w:rPr>
        <w:t>.</w:t>
      </w:r>
      <w:r>
        <w:rPr>
          <w:rFonts w:ascii="Times New Roman" w:hAnsi="Times New Roman" w:cs="Times New Roman"/>
          <w:sz w:val="24"/>
          <w:szCs w:val="24"/>
        </w:rPr>
        <w:t> </w:t>
      </w:r>
      <w:r w:rsidRPr="0087769D">
        <w:rPr>
          <w:rFonts w:ascii="Times New Roman" w:hAnsi="Times New Roman" w:cs="Times New Roman"/>
          <w:sz w:val="24"/>
          <w:szCs w:val="24"/>
        </w:rPr>
        <w:t xml:space="preserve">gadam </w:t>
      </w:r>
      <w:r>
        <w:rPr>
          <w:rFonts w:ascii="Times New Roman" w:hAnsi="Times New Roman" w:cs="Times New Roman"/>
          <w:sz w:val="24"/>
          <w:szCs w:val="24"/>
        </w:rPr>
        <w:t>bija</w:t>
      </w:r>
      <w:r w:rsidRPr="0087769D">
        <w:rPr>
          <w:rFonts w:ascii="Times New Roman" w:hAnsi="Times New Roman" w:cs="Times New Roman"/>
          <w:sz w:val="24"/>
          <w:szCs w:val="24"/>
        </w:rPr>
        <w:t xml:space="preserve"> </w:t>
      </w:r>
      <w:r>
        <w:rPr>
          <w:rFonts w:ascii="Times New Roman" w:hAnsi="Times New Roman" w:cs="Times New Roman"/>
          <w:sz w:val="24"/>
          <w:szCs w:val="24"/>
        </w:rPr>
        <w:t>77,2 </w:t>
      </w:r>
      <w:r w:rsidRPr="0087769D">
        <w:rPr>
          <w:rFonts w:ascii="Times New Roman" w:hAnsi="Times New Roman" w:cs="Times New Roman"/>
          <w:sz w:val="24"/>
          <w:szCs w:val="24"/>
        </w:rPr>
        <w:t>%</w:t>
      </w:r>
      <w:r>
        <w:rPr>
          <w:rFonts w:ascii="Times New Roman" w:hAnsi="Times New Roman" w:cs="Times New Roman"/>
          <w:sz w:val="24"/>
          <w:szCs w:val="24"/>
        </w:rPr>
        <w:t>,</w:t>
      </w:r>
      <w:r w:rsidRPr="0087769D">
        <w:rPr>
          <w:rFonts w:ascii="Times New Roman" w:hAnsi="Times New Roman" w:cs="Times New Roman"/>
          <w:sz w:val="24"/>
          <w:szCs w:val="24"/>
        </w:rPr>
        <w:t xml:space="preserve"> </w:t>
      </w:r>
      <w:r>
        <w:rPr>
          <w:rFonts w:ascii="Times New Roman" w:hAnsi="Times New Roman" w:cs="Times New Roman"/>
          <w:sz w:val="24"/>
          <w:szCs w:val="24"/>
        </w:rPr>
        <w:t>sasniedzot 88,2 milj. </w:t>
      </w:r>
      <w:proofErr w:type="spellStart"/>
      <w:r w:rsidRPr="00CD59D6">
        <w:rPr>
          <w:rFonts w:ascii="Times New Roman" w:hAnsi="Times New Roman" w:cs="Times New Roman"/>
          <w:i/>
          <w:iCs/>
          <w:sz w:val="24"/>
          <w:szCs w:val="24"/>
        </w:rPr>
        <w:t>euro</w:t>
      </w:r>
      <w:proofErr w:type="spellEnd"/>
      <w:r>
        <w:rPr>
          <w:rFonts w:ascii="Times New Roman" w:hAnsi="Times New Roman" w:cs="Times New Roman"/>
          <w:sz w:val="24"/>
          <w:szCs w:val="24"/>
        </w:rPr>
        <w:t xml:space="preserve"> </w:t>
      </w:r>
      <w:r w:rsidRPr="0087769D">
        <w:rPr>
          <w:rFonts w:ascii="Times New Roman" w:hAnsi="Times New Roman" w:cs="Times New Roman"/>
          <w:sz w:val="24"/>
          <w:szCs w:val="24"/>
        </w:rPr>
        <w:t xml:space="preserve">(dārzeņiem un kartupeļiem </w:t>
      </w:r>
      <w:r>
        <w:rPr>
          <w:rFonts w:ascii="Times New Roman" w:hAnsi="Times New Roman" w:cs="Times New Roman"/>
          <w:sz w:val="24"/>
          <w:szCs w:val="24"/>
        </w:rPr>
        <w:t xml:space="preserve">par </w:t>
      </w:r>
      <w:r w:rsidRPr="00FC3EE9">
        <w:rPr>
          <w:rFonts w:ascii="Times New Roman" w:hAnsi="Times New Roman" w:cs="Times New Roman"/>
          <w:sz w:val="24"/>
          <w:szCs w:val="24"/>
        </w:rPr>
        <w:t>78,1</w:t>
      </w:r>
      <w:r>
        <w:rPr>
          <w:rFonts w:ascii="Times New Roman" w:hAnsi="Times New Roman" w:cs="Times New Roman"/>
          <w:sz w:val="24"/>
          <w:szCs w:val="24"/>
        </w:rPr>
        <w:t> </w:t>
      </w:r>
      <w:r w:rsidRPr="00FC3EE9">
        <w:rPr>
          <w:rFonts w:ascii="Times New Roman" w:hAnsi="Times New Roman" w:cs="Times New Roman"/>
          <w:sz w:val="24"/>
          <w:szCs w:val="24"/>
        </w:rPr>
        <w:t>%</w:t>
      </w:r>
      <w:r>
        <w:rPr>
          <w:rFonts w:ascii="Times New Roman" w:hAnsi="Times New Roman" w:cs="Times New Roman"/>
          <w:sz w:val="24"/>
          <w:szCs w:val="24"/>
        </w:rPr>
        <w:t xml:space="preserve"> vairāk</w:t>
      </w:r>
      <w:r w:rsidRPr="00FC3EE9">
        <w:rPr>
          <w:rFonts w:ascii="Times New Roman" w:hAnsi="Times New Roman" w:cs="Times New Roman"/>
          <w:sz w:val="24"/>
          <w:szCs w:val="24"/>
        </w:rPr>
        <w:t>,</w:t>
      </w:r>
      <w:r>
        <w:rPr>
          <w:rFonts w:ascii="Times New Roman" w:hAnsi="Times New Roman" w:cs="Times New Roman"/>
          <w:sz w:val="24"/>
          <w:szCs w:val="24"/>
        </w:rPr>
        <w:t xml:space="preserve"> sasniedzot 65,6 milj. </w:t>
      </w:r>
      <w:proofErr w:type="spellStart"/>
      <w:r w:rsidRPr="00CD59D6">
        <w:rPr>
          <w:rFonts w:ascii="Times New Roman" w:hAnsi="Times New Roman" w:cs="Times New Roman"/>
          <w:i/>
          <w:iCs/>
          <w:sz w:val="24"/>
          <w:szCs w:val="24"/>
        </w:rPr>
        <w:t>euro</w:t>
      </w:r>
      <w:proofErr w:type="spellEnd"/>
      <w:r w:rsidRPr="0087769D">
        <w:rPr>
          <w:rFonts w:ascii="Times New Roman" w:hAnsi="Times New Roman" w:cs="Times New Roman"/>
          <w:sz w:val="24"/>
          <w:szCs w:val="24"/>
        </w:rPr>
        <w:t xml:space="preserve">, augļiem un ogām </w:t>
      </w:r>
      <w:r>
        <w:rPr>
          <w:rFonts w:ascii="Times New Roman" w:hAnsi="Times New Roman" w:cs="Times New Roman"/>
          <w:sz w:val="24"/>
          <w:szCs w:val="24"/>
        </w:rPr>
        <w:t>par 74,5 </w:t>
      </w:r>
      <w:r w:rsidRPr="0087769D">
        <w:rPr>
          <w:rFonts w:ascii="Times New Roman" w:hAnsi="Times New Roman" w:cs="Times New Roman"/>
          <w:sz w:val="24"/>
          <w:szCs w:val="24"/>
        </w:rPr>
        <w:t>%</w:t>
      </w:r>
      <w:r>
        <w:rPr>
          <w:rFonts w:ascii="Times New Roman" w:hAnsi="Times New Roman" w:cs="Times New Roman"/>
          <w:sz w:val="24"/>
          <w:szCs w:val="24"/>
        </w:rPr>
        <w:t xml:space="preserve"> vairāk, sasniedzot 22,6 milj. </w:t>
      </w:r>
      <w:proofErr w:type="spellStart"/>
      <w:r w:rsidRPr="00CD59D6">
        <w:rPr>
          <w:rFonts w:ascii="Times New Roman" w:hAnsi="Times New Roman" w:cs="Times New Roman"/>
          <w:i/>
          <w:iCs/>
          <w:sz w:val="24"/>
          <w:szCs w:val="24"/>
        </w:rPr>
        <w:t>euro</w:t>
      </w:r>
      <w:proofErr w:type="spellEnd"/>
      <w:r w:rsidRPr="0087769D">
        <w:rPr>
          <w:rFonts w:ascii="Times New Roman" w:hAnsi="Times New Roman" w:cs="Times New Roman"/>
          <w:sz w:val="24"/>
          <w:szCs w:val="24"/>
        </w:rPr>
        <w:t>)</w:t>
      </w:r>
      <w:r>
        <w:rPr>
          <w:rFonts w:ascii="Times New Roman" w:hAnsi="Times New Roman" w:cs="Times New Roman"/>
          <w:sz w:val="24"/>
          <w:szCs w:val="24"/>
        </w:rPr>
        <w:t>.</w:t>
      </w:r>
    </w:p>
    <w:p w14:paraId="289A79F8" w14:textId="0EEDCD7D" w:rsidR="00365DAE" w:rsidRDefault="00F16C8E" w:rsidP="00442B1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365DAE" w:rsidRPr="0087769D">
        <w:rPr>
          <w:rFonts w:ascii="Times New Roman" w:hAnsi="Times New Roman" w:cs="Times New Roman"/>
          <w:sz w:val="24"/>
          <w:szCs w:val="24"/>
        </w:rPr>
        <w:t xml:space="preserve">avukārt importa vērtība </w:t>
      </w:r>
      <w:r w:rsidR="00742209">
        <w:rPr>
          <w:rFonts w:ascii="Times New Roman" w:hAnsi="Times New Roman" w:cs="Times New Roman"/>
          <w:sz w:val="24"/>
          <w:szCs w:val="24"/>
        </w:rPr>
        <w:t xml:space="preserve">2022. gadā </w:t>
      </w:r>
      <w:r w:rsidR="00365DAE" w:rsidRPr="0087769D">
        <w:rPr>
          <w:rFonts w:ascii="Times New Roman" w:hAnsi="Times New Roman" w:cs="Times New Roman"/>
          <w:sz w:val="24"/>
          <w:szCs w:val="24"/>
        </w:rPr>
        <w:t>p</w:t>
      </w:r>
      <w:r w:rsidR="00742209">
        <w:rPr>
          <w:rFonts w:ascii="Times New Roman" w:hAnsi="Times New Roman" w:cs="Times New Roman"/>
          <w:sz w:val="24"/>
          <w:szCs w:val="24"/>
        </w:rPr>
        <w:t>alielinājusies</w:t>
      </w:r>
      <w:r w:rsidR="00365DAE" w:rsidRPr="0087769D">
        <w:rPr>
          <w:rFonts w:ascii="Times New Roman" w:hAnsi="Times New Roman" w:cs="Times New Roman"/>
          <w:sz w:val="24"/>
          <w:szCs w:val="24"/>
        </w:rPr>
        <w:t xml:space="preserve"> par </w:t>
      </w:r>
      <w:r w:rsidR="00365DAE" w:rsidRPr="00F62253">
        <w:rPr>
          <w:rFonts w:ascii="Times New Roman" w:hAnsi="Times New Roman" w:cs="Times New Roman"/>
          <w:sz w:val="24"/>
          <w:szCs w:val="24"/>
        </w:rPr>
        <w:t>74,7</w:t>
      </w:r>
      <w:r w:rsidR="00742209">
        <w:rPr>
          <w:rFonts w:ascii="Times New Roman" w:hAnsi="Times New Roman" w:cs="Times New Roman"/>
          <w:sz w:val="24"/>
          <w:szCs w:val="24"/>
        </w:rPr>
        <w:t> </w:t>
      </w:r>
      <w:r w:rsidR="00365DAE" w:rsidRPr="00F62253">
        <w:rPr>
          <w:rFonts w:ascii="Times New Roman" w:hAnsi="Times New Roman" w:cs="Times New Roman"/>
          <w:sz w:val="24"/>
          <w:szCs w:val="24"/>
        </w:rPr>
        <w:t>%,</w:t>
      </w:r>
      <w:r w:rsidR="00365DAE">
        <w:rPr>
          <w:rFonts w:ascii="Times New Roman" w:hAnsi="Times New Roman" w:cs="Times New Roman"/>
          <w:sz w:val="24"/>
          <w:szCs w:val="24"/>
        </w:rPr>
        <w:t xml:space="preserve"> sasniedzot 175,6 milj. </w:t>
      </w:r>
      <w:proofErr w:type="spellStart"/>
      <w:r w:rsidR="00365DAE" w:rsidRPr="00CD59D6">
        <w:rPr>
          <w:rFonts w:ascii="Times New Roman" w:hAnsi="Times New Roman" w:cs="Times New Roman"/>
          <w:i/>
          <w:iCs/>
          <w:sz w:val="24"/>
          <w:szCs w:val="24"/>
        </w:rPr>
        <w:t>euro</w:t>
      </w:r>
      <w:proofErr w:type="spellEnd"/>
      <w:r w:rsidR="00365DAE" w:rsidRPr="0087769D">
        <w:rPr>
          <w:rFonts w:ascii="Times New Roman" w:hAnsi="Times New Roman" w:cs="Times New Roman"/>
          <w:sz w:val="24"/>
          <w:szCs w:val="24"/>
        </w:rPr>
        <w:t xml:space="preserve"> (dārzeņiem un kartupeļiem </w:t>
      </w:r>
      <w:r w:rsidR="00742209">
        <w:rPr>
          <w:rFonts w:ascii="Times New Roman" w:hAnsi="Times New Roman" w:cs="Times New Roman"/>
          <w:sz w:val="24"/>
          <w:szCs w:val="24"/>
        </w:rPr>
        <w:t xml:space="preserve">par </w:t>
      </w:r>
      <w:r w:rsidR="00365DAE">
        <w:rPr>
          <w:rFonts w:ascii="Times New Roman" w:hAnsi="Times New Roman" w:cs="Times New Roman"/>
          <w:sz w:val="24"/>
          <w:szCs w:val="24"/>
        </w:rPr>
        <w:t>78,6</w:t>
      </w:r>
      <w:r w:rsidR="00742209">
        <w:rPr>
          <w:rFonts w:ascii="Times New Roman" w:hAnsi="Times New Roman" w:cs="Times New Roman"/>
          <w:sz w:val="24"/>
          <w:szCs w:val="24"/>
        </w:rPr>
        <w:t xml:space="preserve"> </w:t>
      </w:r>
      <w:r w:rsidR="00365DAE" w:rsidRPr="0087769D">
        <w:rPr>
          <w:rFonts w:ascii="Times New Roman" w:hAnsi="Times New Roman" w:cs="Times New Roman"/>
          <w:sz w:val="24"/>
          <w:szCs w:val="24"/>
        </w:rPr>
        <w:t>%</w:t>
      </w:r>
      <w:r w:rsidR="00365DAE">
        <w:rPr>
          <w:rFonts w:ascii="Times New Roman" w:hAnsi="Times New Roman" w:cs="Times New Roman"/>
          <w:sz w:val="24"/>
          <w:szCs w:val="24"/>
        </w:rPr>
        <w:t xml:space="preserve">, sasniedzot 119,9 milj. </w:t>
      </w:r>
      <w:proofErr w:type="spellStart"/>
      <w:r w:rsidR="00365DAE" w:rsidRPr="00CD59D6">
        <w:rPr>
          <w:rFonts w:ascii="Times New Roman" w:hAnsi="Times New Roman" w:cs="Times New Roman"/>
          <w:i/>
          <w:iCs/>
          <w:sz w:val="24"/>
          <w:szCs w:val="24"/>
        </w:rPr>
        <w:t>euro</w:t>
      </w:r>
      <w:proofErr w:type="spellEnd"/>
      <w:r w:rsidR="00365DAE" w:rsidRPr="0087769D">
        <w:rPr>
          <w:rFonts w:ascii="Times New Roman" w:hAnsi="Times New Roman" w:cs="Times New Roman"/>
          <w:sz w:val="24"/>
          <w:szCs w:val="24"/>
        </w:rPr>
        <w:t xml:space="preserve">, </w:t>
      </w:r>
      <w:r w:rsidR="00742209">
        <w:rPr>
          <w:rFonts w:ascii="Times New Roman" w:hAnsi="Times New Roman" w:cs="Times New Roman"/>
          <w:sz w:val="24"/>
          <w:szCs w:val="24"/>
        </w:rPr>
        <w:t xml:space="preserve">un </w:t>
      </w:r>
      <w:r w:rsidR="00365DAE" w:rsidRPr="0087769D">
        <w:rPr>
          <w:rFonts w:ascii="Times New Roman" w:hAnsi="Times New Roman" w:cs="Times New Roman"/>
          <w:sz w:val="24"/>
          <w:szCs w:val="24"/>
        </w:rPr>
        <w:t xml:space="preserve">augļiem un ogām </w:t>
      </w:r>
      <w:r w:rsidR="00742209">
        <w:rPr>
          <w:rFonts w:ascii="Times New Roman" w:hAnsi="Times New Roman" w:cs="Times New Roman"/>
          <w:sz w:val="24"/>
          <w:szCs w:val="24"/>
        </w:rPr>
        <w:t xml:space="preserve">par </w:t>
      </w:r>
      <w:r w:rsidR="00365DAE">
        <w:rPr>
          <w:rFonts w:ascii="Times New Roman" w:hAnsi="Times New Roman" w:cs="Times New Roman"/>
          <w:sz w:val="24"/>
          <w:szCs w:val="24"/>
        </w:rPr>
        <w:t>66,7</w:t>
      </w:r>
      <w:r w:rsidR="00742209">
        <w:rPr>
          <w:rFonts w:ascii="Times New Roman" w:hAnsi="Times New Roman" w:cs="Times New Roman"/>
          <w:sz w:val="24"/>
          <w:szCs w:val="24"/>
        </w:rPr>
        <w:t> </w:t>
      </w:r>
      <w:r w:rsidR="00365DAE" w:rsidRPr="0087769D">
        <w:rPr>
          <w:rFonts w:ascii="Times New Roman" w:hAnsi="Times New Roman" w:cs="Times New Roman"/>
          <w:sz w:val="24"/>
          <w:szCs w:val="24"/>
        </w:rPr>
        <w:t>%</w:t>
      </w:r>
      <w:r w:rsidR="00365DAE">
        <w:rPr>
          <w:rFonts w:ascii="Times New Roman" w:hAnsi="Times New Roman" w:cs="Times New Roman"/>
          <w:sz w:val="24"/>
          <w:szCs w:val="24"/>
        </w:rPr>
        <w:t xml:space="preserve">, sasniedzot 55,7 milj. </w:t>
      </w:r>
      <w:proofErr w:type="spellStart"/>
      <w:r w:rsidR="00365DAE" w:rsidRPr="00CD59D6">
        <w:rPr>
          <w:rFonts w:ascii="Times New Roman" w:hAnsi="Times New Roman" w:cs="Times New Roman"/>
          <w:i/>
          <w:iCs/>
          <w:sz w:val="24"/>
          <w:szCs w:val="24"/>
        </w:rPr>
        <w:t>euro</w:t>
      </w:r>
      <w:proofErr w:type="spellEnd"/>
      <w:r w:rsidR="00365DAE" w:rsidRPr="0087769D">
        <w:rPr>
          <w:rFonts w:ascii="Times New Roman" w:hAnsi="Times New Roman" w:cs="Times New Roman"/>
          <w:sz w:val="24"/>
          <w:szCs w:val="24"/>
        </w:rPr>
        <w:t xml:space="preserve">). </w:t>
      </w:r>
      <w:r w:rsidR="00DA3C14">
        <w:rPr>
          <w:rFonts w:ascii="Times New Roman" w:hAnsi="Times New Roman" w:cs="Times New Roman"/>
          <w:sz w:val="24"/>
          <w:szCs w:val="24"/>
        </w:rPr>
        <w:t>Laikā no 2017. līdz 2022.</w:t>
      </w:r>
      <w:r w:rsidR="00742209">
        <w:rPr>
          <w:rFonts w:ascii="Times New Roman" w:hAnsi="Times New Roman" w:cs="Times New Roman"/>
          <w:sz w:val="24"/>
          <w:szCs w:val="24"/>
        </w:rPr>
        <w:t xml:space="preserve"> </w:t>
      </w:r>
      <w:r w:rsidR="00DA3C14">
        <w:rPr>
          <w:rFonts w:ascii="Times New Roman" w:hAnsi="Times New Roman" w:cs="Times New Roman"/>
          <w:sz w:val="24"/>
          <w:szCs w:val="24"/>
        </w:rPr>
        <w:t>gadam vērojam</w:t>
      </w:r>
      <w:r w:rsidR="00742209">
        <w:rPr>
          <w:rFonts w:ascii="Times New Roman" w:hAnsi="Times New Roman" w:cs="Times New Roman"/>
          <w:sz w:val="24"/>
          <w:szCs w:val="24"/>
        </w:rPr>
        <w:t>a</w:t>
      </w:r>
      <w:r w:rsidR="00DA3C14">
        <w:rPr>
          <w:rFonts w:ascii="Times New Roman" w:hAnsi="Times New Roman" w:cs="Times New Roman"/>
          <w:sz w:val="24"/>
          <w:szCs w:val="24"/>
        </w:rPr>
        <w:t xml:space="preserve"> pakāpenisk</w:t>
      </w:r>
      <w:r w:rsidR="00742209">
        <w:rPr>
          <w:rFonts w:ascii="Times New Roman" w:hAnsi="Times New Roman" w:cs="Times New Roman"/>
          <w:sz w:val="24"/>
          <w:szCs w:val="24"/>
        </w:rPr>
        <w:t>a</w:t>
      </w:r>
      <w:r w:rsidR="00DA3C14">
        <w:rPr>
          <w:rFonts w:ascii="Times New Roman" w:hAnsi="Times New Roman" w:cs="Times New Roman"/>
          <w:sz w:val="24"/>
          <w:szCs w:val="24"/>
        </w:rPr>
        <w:t xml:space="preserve"> importa p</w:t>
      </w:r>
      <w:r w:rsidR="00742209">
        <w:rPr>
          <w:rFonts w:ascii="Times New Roman" w:hAnsi="Times New Roman" w:cs="Times New Roman"/>
          <w:sz w:val="24"/>
          <w:szCs w:val="24"/>
        </w:rPr>
        <w:t xml:space="preserve">alielināšanās, līdz ar to </w:t>
      </w:r>
      <w:r w:rsidR="00E53959" w:rsidRPr="0087769D">
        <w:rPr>
          <w:rFonts w:ascii="Times New Roman" w:hAnsi="Times New Roman" w:cs="Times New Roman"/>
          <w:sz w:val="24"/>
          <w:szCs w:val="24"/>
        </w:rPr>
        <w:t xml:space="preserve">par </w:t>
      </w:r>
      <w:r w:rsidR="00E53959">
        <w:rPr>
          <w:rFonts w:ascii="Times New Roman" w:hAnsi="Times New Roman" w:cs="Times New Roman"/>
          <w:sz w:val="24"/>
          <w:szCs w:val="24"/>
        </w:rPr>
        <w:t xml:space="preserve">72,2 </w:t>
      </w:r>
      <w:r w:rsidR="00E53959" w:rsidRPr="0087769D">
        <w:rPr>
          <w:rFonts w:ascii="Times New Roman" w:hAnsi="Times New Roman" w:cs="Times New Roman"/>
          <w:sz w:val="24"/>
          <w:szCs w:val="24"/>
        </w:rPr>
        <w:t xml:space="preserve">% </w:t>
      </w:r>
      <w:r w:rsidR="00742209">
        <w:rPr>
          <w:rFonts w:ascii="Times New Roman" w:hAnsi="Times New Roman" w:cs="Times New Roman"/>
          <w:sz w:val="24"/>
          <w:szCs w:val="24"/>
        </w:rPr>
        <w:t>palielinoties</w:t>
      </w:r>
      <w:r w:rsidR="00DA3C14" w:rsidRPr="0087769D">
        <w:rPr>
          <w:rFonts w:ascii="Times New Roman" w:hAnsi="Times New Roman" w:cs="Times New Roman"/>
          <w:sz w:val="24"/>
          <w:szCs w:val="24"/>
        </w:rPr>
        <w:t xml:space="preserve"> arī importa un eksporta bilances negatīv</w:t>
      </w:r>
      <w:r w:rsidR="00742209">
        <w:rPr>
          <w:rFonts w:ascii="Times New Roman" w:hAnsi="Times New Roman" w:cs="Times New Roman"/>
          <w:sz w:val="24"/>
          <w:szCs w:val="24"/>
        </w:rPr>
        <w:t>ajai</w:t>
      </w:r>
      <w:r w:rsidR="00DA3C14" w:rsidRPr="0087769D">
        <w:rPr>
          <w:rFonts w:ascii="Times New Roman" w:hAnsi="Times New Roman" w:cs="Times New Roman"/>
          <w:sz w:val="24"/>
          <w:szCs w:val="24"/>
        </w:rPr>
        <w:t xml:space="preserve"> saldo vērtība</w:t>
      </w:r>
      <w:r w:rsidR="00E53959">
        <w:rPr>
          <w:rFonts w:ascii="Times New Roman" w:hAnsi="Times New Roman" w:cs="Times New Roman"/>
          <w:sz w:val="24"/>
          <w:szCs w:val="24"/>
        </w:rPr>
        <w:t xml:space="preserve">i: </w:t>
      </w:r>
      <w:r w:rsidR="00DA3C14" w:rsidRPr="0087769D">
        <w:rPr>
          <w:rFonts w:ascii="Times New Roman" w:hAnsi="Times New Roman" w:cs="Times New Roman"/>
          <w:sz w:val="24"/>
          <w:szCs w:val="24"/>
        </w:rPr>
        <w:t>no –</w:t>
      </w:r>
      <w:r w:rsidR="00E53959">
        <w:rPr>
          <w:rFonts w:ascii="Times New Roman" w:hAnsi="Times New Roman" w:cs="Times New Roman"/>
          <w:sz w:val="24"/>
          <w:szCs w:val="24"/>
        </w:rPr>
        <w:t> </w:t>
      </w:r>
      <w:r w:rsidR="00DA3C14">
        <w:rPr>
          <w:rFonts w:ascii="Times New Roman" w:hAnsi="Times New Roman" w:cs="Times New Roman"/>
          <w:sz w:val="24"/>
          <w:szCs w:val="24"/>
        </w:rPr>
        <w:t>50,7</w:t>
      </w:r>
      <w:r w:rsidR="00DA3C14" w:rsidRPr="0087769D">
        <w:rPr>
          <w:rFonts w:ascii="Times New Roman" w:hAnsi="Times New Roman" w:cs="Times New Roman"/>
          <w:sz w:val="24"/>
          <w:szCs w:val="24"/>
        </w:rPr>
        <w:t xml:space="preserve"> milj. </w:t>
      </w:r>
      <w:proofErr w:type="spellStart"/>
      <w:r w:rsidR="00DA3C14" w:rsidRPr="0087769D">
        <w:rPr>
          <w:rFonts w:ascii="Times New Roman" w:hAnsi="Times New Roman" w:cs="Times New Roman"/>
          <w:i/>
          <w:iCs/>
          <w:sz w:val="24"/>
          <w:szCs w:val="24"/>
        </w:rPr>
        <w:t>euro</w:t>
      </w:r>
      <w:proofErr w:type="spellEnd"/>
      <w:r w:rsidR="00DA3C14" w:rsidRPr="0087769D">
        <w:rPr>
          <w:rFonts w:ascii="Times New Roman" w:hAnsi="Times New Roman" w:cs="Times New Roman"/>
          <w:sz w:val="24"/>
          <w:szCs w:val="24"/>
        </w:rPr>
        <w:t xml:space="preserve"> 2017.</w:t>
      </w:r>
      <w:r w:rsidR="00E53959">
        <w:rPr>
          <w:rFonts w:ascii="Times New Roman" w:hAnsi="Times New Roman" w:cs="Times New Roman"/>
          <w:sz w:val="24"/>
          <w:szCs w:val="24"/>
        </w:rPr>
        <w:t xml:space="preserve"> </w:t>
      </w:r>
      <w:r w:rsidR="00DA3C14" w:rsidRPr="0087769D">
        <w:rPr>
          <w:rFonts w:ascii="Times New Roman" w:hAnsi="Times New Roman" w:cs="Times New Roman"/>
          <w:sz w:val="24"/>
          <w:szCs w:val="24"/>
        </w:rPr>
        <w:t>gadā līdz –</w:t>
      </w:r>
      <w:r w:rsidR="00E53959">
        <w:rPr>
          <w:rFonts w:ascii="Times New Roman" w:hAnsi="Times New Roman" w:cs="Times New Roman"/>
          <w:sz w:val="24"/>
          <w:szCs w:val="24"/>
        </w:rPr>
        <w:t> </w:t>
      </w:r>
      <w:r w:rsidR="00DA3C14">
        <w:rPr>
          <w:rFonts w:ascii="Times New Roman" w:hAnsi="Times New Roman" w:cs="Times New Roman"/>
          <w:sz w:val="24"/>
          <w:szCs w:val="24"/>
        </w:rPr>
        <w:t>87,4</w:t>
      </w:r>
      <w:r w:rsidR="00DA3C14" w:rsidRPr="0087769D">
        <w:rPr>
          <w:rFonts w:ascii="Times New Roman" w:hAnsi="Times New Roman" w:cs="Times New Roman"/>
          <w:sz w:val="24"/>
          <w:szCs w:val="24"/>
        </w:rPr>
        <w:t xml:space="preserve"> milj. </w:t>
      </w:r>
      <w:proofErr w:type="spellStart"/>
      <w:r w:rsidR="00DA3C14" w:rsidRPr="0087769D">
        <w:rPr>
          <w:rFonts w:ascii="Times New Roman" w:hAnsi="Times New Roman" w:cs="Times New Roman"/>
          <w:i/>
          <w:iCs/>
          <w:sz w:val="24"/>
          <w:szCs w:val="24"/>
        </w:rPr>
        <w:t>euro</w:t>
      </w:r>
      <w:proofErr w:type="spellEnd"/>
      <w:r w:rsidR="00DA3C14" w:rsidRPr="0087769D">
        <w:rPr>
          <w:rFonts w:ascii="Times New Roman" w:hAnsi="Times New Roman" w:cs="Times New Roman"/>
          <w:sz w:val="24"/>
          <w:szCs w:val="24"/>
        </w:rPr>
        <w:t xml:space="preserve"> </w:t>
      </w:r>
      <w:r w:rsidR="00DA3C14">
        <w:rPr>
          <w:rFonts w:ascii="Times New Roman" w:hAnsi="Times New Roman" w:cs="Times New Roman"/>
          <w:sz w:val="24"/>
          <w:szCs w:val="24"/>
        </w:rPr>
        <w:t>2022</w:t>
      </w:r>
      <w:r w:rsidR="00DA3C14" w:rsidRPr="0087769D">
        <w:rPr>
          <w:rFonts w:ascii="Times New Roman" w:hAnsi="Times New Roman" w:cs="Times New Roman"/>
          <w:sz w:val="24"/>
          <w:szCs w:val="24"/>
        </w:rPr>
        <w:t>.</w:t>
      </w:r>
      <w:r w:rsidR="00DA3C14">
        <w:rPr>
          <w:rFonts w:ascii="Times New Roman" w:hAnsi="Times New Roman" w:cs="Times New Roman"/>
          <w:sz w:val="24"/>
          <w:szCs w:val="24"/>
        </w:rPr>
        <w:t xml:space="preserve"> gadā.</w:t>
      </w:r>
    </w:p>
    <w:p w14:paraId="15456487" w14:textId="36236B44" w:rsidR="00365DAE" w:rsidRDefault="00365DAE" w:rsidP="00AC18D1">
      <w:pPr>
        <w:spacing w:after="0" w:line="240" w:lineRule="auto"/>
        <w:ind w:firstLine="720"/>
        <w:jc w:val="both"/>
        <w:rPr>
          <w:rFonts w:ascii="Times New Roman" w:hAnsi="Times New Roman" w:cs="Times New Roman"/>
          <w:iCs/>
          <w:sz w:val="24"/>
          <w:szCs w:val="24"/>
        </w:rPr>
      </w:pPr>
      <w:r w:rsidRPr="0087769D">
        <w:rPr>
          <w:rFonts w:ascii="Times New Roman" w:hAnsi="Times New Roman" w:cs="Times New Roman"/>
          <w:iCs/>
          <w:sz w:val="24"/>
          <w:szCs w:val="24"/>
        </w:rPr>
        <w:t>Kaut arī vietējās augļu, ogu un dārzeņu (tostarp kartupeļu) saražotās produkcijas vērtība ir pieaugusi, ir palielinājies arī importētās produkcijas apjoms. Tas liecina, ka līdz ar samazinātās 5</w:t>
      </w:r>
      <w:r w:rsidR="00E53959">
        <w:rPr>
          <w:rFonts w:ascii="Times New Roman" w:hAnsi="Times New Roman" w:cs="Times New Roman"/>
          <w:iCs/>
          <w:sz w:val="24"/>
          <w:szCs w:val="24"/>
        </w:rPr>
        <w:t> </w:t>
      </w:r>
      <w:r w:rsidRPr="0087769D">
        <w:rPr>
          <w:rFonts w:ascii="Times New Roman" w:hAnsi="Times New Roman" w:cs="Times New Roman"/>
          <w:iCs/>
          <w:sz w:val="24"/>
          <w:szCs w:val="24"/>
        </w:rPr>
        <w:t xml:space="preserve">% </w:t>
      </w:r>
      <w:r w:rsidR="00E53959" w:rsidRPr="0087769D">
        <w:rPr>
          <w:rFonts w:ascii="Times New Roman" w:hAnsi="Times New Roman" w:cs="Times New Roman"/>
          <w:iCs/>
          <w:sz w:val="24"/>
          <w:szCs w:val="24"/>
        </w:rPr>
        <w:t xml:space="preserve">PVN </w:t>
      </w:r>
      <w:r w:rsidRPr="0087769D">
        <w:rPr>
          <w:rFonts w:ascii="Times New Roman" w:hAnsi="Times New Roman" w:cs="Times New Roman"/>
          <w:iCs/>
          <w:sz w:val="24"/>
          <w:szCs w:val="24"/>
        </w:rPr>
        <w:t>likmes ieviešanu ir palielinājies gan pieprasījums</w:t>
      </w:r>
      <w:r w:rsidR="00E53959" w:rsidRPr="00E53959">
        <w:rPr>
          <w:rFonts w:ascii="Times New Roman" w:hAnsi="Times New Roman" w:cs="Times New Roman"/>
          <w:iCs/>
          <w:sz w:val="24"/>
          <w:szCs w:val="24"/>
        </w:rPr>
        <w:t xml:space="preserve"> </w:t>
      </w:r>
      <w:r w:rsidR="00E53959">
        <w:rPr>
          <w:rFonts w:ascii="Times New Roman" w:hAnsi="Times New Roman" w:cs="Times New Roman"/>
          <w:iCs/>
          <w:sz w:val="24"/>
          <w:szCs w:val="24"/>
        </w:rPr>
        <w:t>pēc augļiem, ogām</w:t>
      </w:r>
      <w:r w:rsidR="00E53959" w:rsidRPr="0087769D">
        <w:rPr>
          <w:rFonts w:ascii="Times New Roman" w:hAnsi="Times New Roman" w:cs="Times New Roman"/>
          <w:iCs/>
          <w:sz w:val="24"/>
          <w:szCs w:val="24"/>
        </w:rPr>
        <w:t xml:space="preserve"> un dārzeņ</w:t>
      </w:r>
      <w:r w:rsidR="00E53959">
        <w:rPr>
          <w:rFonts w:ascii="Times New Roman" w:hAnsi="Times New Roman" w:cs="Times New Roman"/>
          <w:iCs/>
          <w:sz w:val="24"/>
          <w:szCs w:val="24"/>
        </w:rPr>
        <w:t>iem</w:t>
      </w:r>
      <w:r w:rsidRPr="0087769D">
        <w:rPr>
          <w:rFonts w:ascii="Times New Roman" w:hAnsi="Times New Roman" w:cs="Times New Roman"/>
          <w:iCs/>
          <w:sz w:val="24"/>
          <w:szCs w:val="24"/>
        </w:rPr>
        <w:t xml:space="preserve">, gan </w:t>
      </w:r>
      <w:r w:rsidR="00E53959">
        <w:rPr>
          <w:rFonts w:ascii="Times New Roman" w:hAnsi="Times New Roman" w:cs="Times New Roman"/>
          <w:iCs/>
          <w:sz w:val="24"/>
          <w:szCs w:val="24"/>
        </w:rPr>
        <w:t>to</w:t>
      </w:r>
      <w:r w:rsidRPr="0087769D">
        <w:rPr>
          <w:rFonts w:ascii="Times New Roman" w:hAnsi="Times New Roman" w:cs="Times New Roman"/>
          <w:iCs/>
          <w:sz w:val="24"/>
          <w:szCs w:val="24"/>
        </w:rPr>
        <w:t xml:space="preserve"> patēriņš. Iespējams, daļa importētāju ir legalizējuši savus darījumus, jo ir zudusi interese izvairīties no PVN nomaksas.</w:t>
      </w:r>
    </w:p>
    <w:p w14:paraId="6347DAA5" w14:textId="5C895B45" w:rsidR="00AC18D1" w:rsidRDefault="00E23FCC" w:rsidP="00442B17">
      <w:pPr>
        <w:spacing w:before="120" w:after="120" w:line="240" w:lineRule="auto"/>
        <w:ind w:hanging="142"/>
        <w:jc w:val="both"/>
        <w:rPr>
          <w:rFonts w:ascii="Times New Roman" w:hAnsi="Times New Roman" w:cs="Times New Roman"/>
          <w:iCs/>
          <w:sz w:val="24"/>
          <w:szCs w:val="24"/>
        </w:rPr>
      </w:pPr>
      <w:r>
        <w:rPr>
          <w:noProof/>
          <w:lang w:eastAsia="lv-LV"/>
        </w:rPr>
        <w:drawing>
          <wp:inline distT="0" distB="0" distL="0" distR="0" wp14:anchorId="1C7F436E" wp14:editId="11A3D8E0">
            <wp:extent cx="5992238" cy="3093396"/>
            <wp:effectExtent l="0" t="0" r="8890" b="12065"/>
            <wp:docPr id="12" name="Chart 12">
              <a:extLst xmlns:a="http://schemas.openxmlformats.org/drawingml/2006/main">
                <a:ext uri="{FF2B5EF4-FFF2-40B4-BE49-F238E27FC236}">
                  <a16:creationId xmlns:a16="http://schemas.microsoft.com/office/drawing/2014/main" id="{0C9E9CCE-4D71-4A10-A174-FF6CBEBA71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E7EBDF" w14:textId="3EAF6387" w:rsidR="00833432" w:rsidRPr="005842B1" w:rsidRDefault="00BF2A42" w:rsidP="00833432">
      <w:pPr>
        <w:spacing w:after="0" w:line="240" w:lineRule="auto"/>
        <w:ind w:firstLine="720"/>
        <w:jc w:val="both"/>
        <w:rPr>
          <w:rFonts w:ascii="Times New Roman" w:hAnsi="Times New Roman" w:cs="Times New Roman"/>
          <w:sz w:val="24"/>
          <w:szCs w:val="24"/>
        </w:rPr>
      </w:pPr>
      <w:r w:rsidRPr="00442B17">
        <w:rPr>
          <w:rFonts w:ascii="Times New Roman" w:hAnsi="Times New Roman" w:cs="Times New Roman"/>
          <w:iCs/>
          <w:sz w:val="24"/>
          <w:szCs w:val="24"/>
        </w:rPr>
        <w:t>1</w:t>
      </w:r>
      <w:r w:rsidR="00442B17" w:rsidRPr="00442B17">
        <w:rPr>
          <w:rFonts w:ascii="Times New Roman" w:hAnsi="Times New Roman" w:cs="Times New Roman"/>
          <w:iCs/>
          <w:sz w:val="24"/>
          <w:szCs w:val="24"/>
        </w:rPr>
        <w:t>1</w:t>
      </w:r>
      <w:r w:rsidR="00833432" w:rsidRPr="00442B17">
        <w:rPr>
          <w:rFonts w:ascii="Times New Roman" w:hAnsi="Times New Roman" w:cs="Times New Roman"/>
          <w:iCs/>
          <w:sz w:val="24"/>
          <w:szCs w:val="24"/>
        </w:rPr>
        <w:t>.</w:t>
      </w:r>
      <w:r w:rsidRPr="00442B17">
        <w:rPr>
          <w:rFonts w:ascii="Times New Roman" w:hAnsi="Times New Roman" w:cs="Times New Roman"/>
          <w:iCs/>
          <w:sz w:val="24"/>
          <w:szCs w:val="24"/>
        </w:rPr>
        <w:t> </w:t>
      </w:r>
      <w:r w:rsidR="00833432" w:rsidRPr="00442B17">
        <w:rPr>
          <w:rFonts w:ascii="Times New Roman" w:hAnsi="Times New Roman" w:cs="Times New Roman"/>
          <w:iCs/>
          <w:sz w:val="24"/>
          <w:szCs w:val="24"/>
        </w:rPr>
        <w:t>attēls.</w:t>
      </w:r>
      <w:r w:rsidR="00833432" w:rsidRPr="005842B1">
        <w:rPr>
          <w:rFonts w:ascii="Times New Roman" w:hAnsi="Times New Roman" w:cs="Times New Roman"/>
          <w:iCs/>
          <w:sz w:val="24"/>
          <w:szCs w:val="24"/>
        </w:rPr>
        <w:t xml:space="preserve"> </w:t>
      </w:r>
      <w:r w:rsidR="007336B3" w:rsidRPr="005842B1">
        <w:rPr>
          <w:rFonts w:ascii="Times New Roman" w:hAnsi="Times New Roman" w:cs="Times New Roman"/>
          <w:sz w:val="24"/>
          <w:szCs w:val="24"/>
        </w:rPr>
        <w:t>Augļu un ogu</w:t>
      </w:r>
      <w:r w:rsidR="00833432" w:rsidRPr="005842B1">
        <w:rPr>
          <w:rFonts w:ascii="Times New Roman" w:hAnsi="Times New Roman" w:cs="Times New Roman"/>
          <w:sz w:val="24"/>
          <w:szCs w:val="24"/>
        </w:rPr>
        <w:t xml:space="preserve"> </w:t>
      </w:r>
      <w:r w:rsidR="00FB666A" w:rsidRPr="005842B1">
        <w:rPr>
          <w:rFonts w:ascii="Times New Roman" w:hAnsi="Times New Roman" w:cs="Times New Roman"/>
          <w:sz w:val="24"/>
          <w:szCs w:val="24"/>
        </w:rPr>
        <w:t xml:space="preserve">izlaides </w:t>
      </w:r>
      <w:r w:rsidR="00833432" w:rsidRPr="005842B1">
        <w:rPr>
          <w:rFonts w:ascii="Times New Roman" w:hAnsi="Times New Roman" w:cs="Times New Roman"/>
          <w:sz w:val="24"/>
          <w:szCs w:val="24"/>
        </w:rPr>
        <w:t xml:space="preserve">vērtības </w:t>
      </w:r>
      <w:r w:rsidR="00E53959">
        <w:rPr>
          <w:rFonts w:ascii="Times New Roman" w:hAnsi="Times New Roman" w:cs="Times New Roman"/>
          <w:sz w:val="24"/>
          <w:szCs w:val="24"/>
        </w:rPr>
        <w:t>pār</w:t>
      </w:r>
      <w:r w:rsidR="00833432" w:rsidRPr="005842B1">
        <w:rPr>
          <w:rFonts w:ascii="Times New Roman" w:hAnsi="Times New Roman" w:cs="Times New Roman"/>
          <w:sz w:val="24"/>
          <w:szCs w:val="24"/>
        </w:rPr>
        <w:t>maiņas</w:t>
      </w:r>
      <w:r w:rsidR="00AD29B6" w:rsidRPr="005842B1">
        <w:rPr>
          <w:rFonts w:ascii="Times New Roman" w:hAnsi="Times New Roman" w:cs="Times New Roman"/>
          <w:sz w:val="24"/>
          <w:szCs w:val="24"/>
        </w:rPr>
        <w:t xml:space="preserve"> Latvijā salīdzinājumā ar citām</w:t>
      </w:r>
      <w:r w:rsidR="00833432" w:rsidRPr="005842B1">
        <w:rPr>
          <w:rFonts w:ascii="Times New Roman" w:hAnsi="Times New Roman" w:cs="Times New Roman"/>
          <w:sz w:val="24"/>
          <w:szCs w:val="24"/>
        </w:rPr>
        <w:t xml:space="preserve"> Eiropas Savienības dalībvalstī</w:t>
      </w:r>
      <w:r w:rsidR="00AD29B6" w:rsidRPr="005842B1">
        <w:rPr>
          <w:rFonts w:ascii="Times New Roman" w:hAnsi="Times New Roman" w:cs="Times New Roman"/>
          <w:sz w:val="24"/>
          <w:szCs w:val="24"/>
        </w:rPr>
        <w:t>m,</w:t>
      </w:r>
      <w:r w:rsidR="00833432" w:rsidRPr="005842B1">
        <w:rPr>
          <w:rFonts w:ascii="Times New Roman" w:hAnsi="Times New Roman" w:cs="Times New Roman"/>
          <w:sz w:val="24"/>
          <w:szCs w:val="24"/>
        </w:rPr>
        <w:t xml:space="preserve"> 2022.</w:t>
      </w:r>
      <w:r w:rsidR="00EF5E2C">
        <w:rPr>
          <w:rFonts w:ascii="Times New Roman" w:hAnsi="Times New Roman" w:cs="Times New Roman"/>
          <w:sz w:val="24"/>
          <w:szCs w:val="24"/>
        </w:rPr>
        <w:t xml:space="preserve"> </w:t>
      </w:r>
      <w:r w:rsidR="00833432" w:rsidRPr="005842B1">
        <w:rPr>
          <w:rFonts w:ascii="Times New Roman" w:hAnsi="Times New Roman" w:cs="Times New Roman"/>
          <w:sz w:val="24"/>
          <w:szCs w:val="24"/>
        </w:rPr>
        <w:t>gad</w:t>
      </w:r>
      <w:r w:rsidR="00E53959">
        <w:rPr>
          <w:rFonts w:ascii="Times New Roman" w:hAnsi="Times New Roman" w:cs="Times New Roman"/>
          <w:sz w:val="24"/>
          <w:szCs w:val="24"/>
        </w:rPr>
        <w:t>u</w:t>
      </w:r>
      <w:r w:rsidR="00833432" w:rsidRPr="005842B1">
        <w:rPr>
          <w:rFonts w:ascii="Times New Roman" w:hAnsi="Times New Roman" w:cs="Times New Roman"/>
          <w:sz w:val="24"/>
          <w:szCs w:val="24"/>
        </w:rPr>
        <w:t xml:space="preserve"> salīdzinot ar 2017.</w:t>
      </w:r>
      <w:r w:rsidR="00EF5E2C">
        <w:rPr>
          <w:rFonts w:ascii="Times New Roman" w:hAnsi="Times New Roman" w:cs="Times New Roman"/>
          <w:sz w:val="24"/>
          <w:szCs w:val="24"/>
        </w:rPr>
        <w:t xml:space="preserve"> </w:t>
      </w:r>
      <w:r w:rsidR="00833432" w:rsidRPr="005842B1">
        <w:rPr>
          <w:rFonts w:ascii="Times New Roman" w:hAnsi="Times New Roman" w:cs="Times New Roman"/>
          <w:sz w:val="24"/>
          <w:szCs w:val="24"/>
        </w:rPr>
        <w:t>gadu</w:t>
      </w:r>
      <w:r w:rsidR="00AD29B6" w:rsidRPr="005842B1">
        <w:rPr>
          <w:rFonts w:ascii="Times New Roman" w:hAnsi="Times New Roman" w:cs="Times New Roman"/>
          <w:sz w:val="24"/>
          <w:szCs w:val="24"/>
        </w:rPr>
        <w:t>, procentos</w:t>
      </w:r>
    </w:p>
    <w:p w14:paraId="36509D42" w14:textId="434B981E" w:rsidR="00833432" w:rsidRPr="005842B1" w:rsidRDefault="00833432" w:rsidP="00833432">
      <w:pPr>
        <w:spacing w:line="240" w:lineRule="auto"/>
        <w:ind w:right="-19" w:firstLine="720"/>
        <w:jc w:val="both"/>
        <w:rPr>
          <w:rFonts w:ascii="Times New Roman" w:hAnsi="Times New Roman" w:cs="Times New Roman"/>
          <w:sz w:val="20"/>
          <w:szCs w:val="20"/>
        </w:rPr>
      </w:pPr>
      <w:r w:rsidRPr="005842B1">
        <w:rPr>
          <w:rFonts w:ascii="Times New Roman" w:hAnsi="Times New Roman" w:cs="Times New Roman"/>
          <w:i/>
          <w:sz w:val="20"/>
          <w:szCs w:val="20"/>
        </w:rPr>
        <w:t xml:space="preserve">Avots: </w:t>
      </w:r>
      <w:r w:rsidRPr="005842B1">
        <w:rPr>
          <w:rFonts w:ascii="Times New Roman" w:hAnsi="Times New Roman" w:cs="Times New Roman"/>
          <w:sz w:val="20"/>
          <w:szCs w:val="20"/>
        </w:rPr>
        <w:t xml:space="preserve">ZM pēc </w:t>
      </w:r>
      <w:r w:rsidRPr="005842B1">
        <w:rPr>
          <w:rFonts w:ascii="Times New Roman" w:hAnsi="Times New Roman" w:cs="Times New Roman"/>
          <w:i/>
          <w:sz w:val="20"/>
          <w:szCs w:val="20"/>
        </w:rPr>
        <w:t>Eurostat</w:t>
      </w:r>
      <w:r w:rsidR="00FB666A" w:rsidRPr="005842B1">
        <w:rPr>
          <w:rFonts w:ascii="Times New Roman" w:hAnsi="Times New Roman" w:cs="Times New Roman"/>
          <w:sz w:val="20"/>
          <w:szCs w:val="20"/>
        </w:rPr>
        <w:t xml:space="preserve"> </w:t>
      </w:r>
      <w:r w:rsidRPr="005842B1">
        <w:rPr>
          <w:rFonts w:ascii="Times New Roman" w:hAnsi="Times New Roman" w:cs="Times New Roman"/>
          <w:sz w:val="20"/>
          <w:szCs w:val="20"/>
        </w:rPr>
        <w:t>datiem</w:t>
      </w:r>
    </w:p>
    <w:p w14:paraId="1D8EBEA9" w14:textId="1C681B5B" w:rsidR="00833432" w:rsidRDefault="00E53959" w:rsidP="00833432">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Ja </w:t>
      </w:r>
      <w:r w:rsidRPr="005842B1">
        <w:rPr>
          <w:rFonts w:ascii="Times New Roman" w:hAnsi="Times New Roman" w:cs="Times New Roman"/>
          <w:iCs/>
          <w:sz w:val="24"/>
          <w:szCs w:val="24"/>
        </w:rPr>
        <w:t>2022.</w:t>
      </w:r>
      <w:r>
        <w:rPr>
          <w:rFonts w:ascii="Times New Roman" w:hAnsi="Times New Roman" w:cs="Times New Roman"/>
          <w:iCs/>
          <w:sz w:val="24"/>
          <w:szCs w:val="24"/>
        </w:rPr>
        <w:t xml:space="preserve"> </w:t>
      </w:r>
      <w:r w:rsidRPr="005842B1">
        <w:rPr>
          <w:rFonts w:ascii="Times New Roman" w:hAnsi="Times New Roman" w:cs="Times New Roman"/>
          <w:iCs/>
          <w:sz w:val="24"/>
          <w:szCs w:val="24"/>
        </w:rPr>
        <w:t xml:space="preserve">gadu </w:t>
      </w:r>
      <w:r>
        <w:rPr>
          <w:rFonts w:ascii="Times New Roman" w:hAnsi="Times New Roman" w:cs="Times New Roman"/>
          <w:iCs/>
          <w:sz w:val="24"/>
          <w:szCs w:val="24"/>
        </w:rPr>
        <w:t>salīdzina</w:t>
      </w:r>
      <w:r w:rsidRPr="005842B1">
        <w:rPr>
          <w:rFonts w:ascii="Times New Roman" w:hAnsi="Times New Roman" w:cs="Times New Roman"/>
          <w:iCs/>
          <w:sz w:val="24"/>
          <w:szCs w:val="24"/>
        </w:rPr>
        <w:t xml:space="preserve"> ar 2017.</w:t>
      </w:r>
      <w:r>
        <w:rPr>
          <w:rFonts w:ascii="Times New Roman" w:hAnsi="Times New Roman" w:cs="Times New Roman"/>
          <w:iCs/>
          <w:sz w:val="24"/>
          <w:szCs w:val="24"/>
        </w:rPr>
        <w:t xml:space="preserve"> </w:t>
      </w:r>
      <w:r w:rsidRPr="005842B1">
        <w:rPr>
          <w:rFonts w:ascii="Times New Roman" w:hAnsi="Times New Roman" w:cs="Times New Roman"/>
          <w:iCs/>
          <w:sz w:val="24"/>
          <w:szCs w:val="24"/>
        </w:rPr>
        <w:t>gadu</w:t>
      </w:r>
      <w:r>
        <w:rPr>
          <w:rFonts w:ascii="Times New Roman" w:hAnsi="Times New Roman" w:cs="Times New Roman"/>
          <w:iCs/>
          <w:sz w:val="24"/>
          <w:szCs w:val="24"/>
        </w:rPr>
        <w:t>,</w:t>
      </w:r>
      <w:r w:rsidRPr="005842B1">
        <w:rPr>
          <w:rFonts w:ascii="Times New Roman" w:hAnsi="Times New Roman" w:cs="Times New Roman"/>
          <w:iCs/>
          <w:sz w:val="24"/>
          <w:szCs w:val="24"/>
        </w:rPr>
        <w:t xml:space="preserve"> </w:t>
      </w:r>
      <w:r w:rsidR="00833432" w:rsidRPr="005842B1">
        <w:rPr>
          <w:rFonts w:ascii="Times New Roman" w:hAnsi="Times New Roman" w:cs="Times New Roman"/>
          <w:iCs/>
          <w:sz w:val="24"/>
          <w:szCs w:val="24"/>
        </w:rPr>
        <w:t xml:space="preserve">Latvija ir līdere starp citām Eiropas Savienības dalībvalstīm </w:t>
      </w:r>
      <w:r>
        <w:rPr>
          <w:rFonts w:ascii="Times New Roman" w:hAnsi="Times New Roman" w:cs="Times New Roman"/>
          <w:iCs/>
          <w:sz w:val="24"/>
          <w:szCs w:val="24"/>
        </w:rPr>
        <w:t xml:space="preserve">pēc </w:t>
      </w:r>
      <w:r w:rsidR="000650DE" w:rsidRPr="005842B1">
        <w:rPr>
          <w:rFonts w:ascii="Times New Roman" w:hAnsi="Times New Roman" w:cs="Times New Roman"/>
          <w:iCs/>
          <w:sz w:val="24"/>
          <w:szCs w:val="24"/>
        </w:rPr>
        <w:t xml:space="preserve">augļu un ogu </w:t>
      </w:r>
      <w:r w:rsidR="00833432" w:rsidRPr="005842B1">
        <w:rPr>
          <w:rFonts w:ascii="Times New Roman" w:hAnsi="Times New Roman" w:cs="Times New Roman"/>
          <w:iCs/>
          <w:sz w:val="24"/>
          <w:szCs w:val="24"/>
        </w:rPr>
        <w:t xml:space="preserve">izlaides vērtības </w:t>
      </w:r>
      <w:r>
        <w:rPr>
          <w:rFonts w:ascii="Times New Roman" w:hAnsi="Times New Roman" w:cs="Times New Roman"/>
          <w:iCs/>
          <w:sz w:val="24"/>
          <w:szCs w:val="24"/>
        </w:rPr>
        <w:t>pār</w:t>
      </w:r>
      <w:r w:rsidR="00833432" w:rsidRPr="005842B1">
        <w:rPr>
          <w:rFonts w:ascii="Times New Roman" w:hAnsi="Times New Roman" w:cs="Times New Roman"/>
          <w:iCs/>
          <w:sz w:val="24"/>
          <w:szCs w:val="24"/>
        </w:rPr>
        <w:t>maiņu rādītāj</w:t>
      </w:r>
      <w:r>
        <w:rPr>
          <w:rFonts w:ascii="Times New Roman" w:hAnsi="Times New Roman" w:cs="Times New Roman"/>
          <w:iCs/>
          <w:sz w:val="24"/>
          <w:szCs w:val="24"/>
        </w:rPr>
        <w:t>iem,</w:t>
      </w:r>
      <w:r w:rsidR="00833432" w:rsidRPr="005842B1">
        <w:rPr>
          <w:rFonts w:ascii="Times New Roman" w:hAnsi="Times New Roman" w:cs="Times New Roman"/>
          <w:iCs/>
          <w:sz w:val="24"/>
          <w:szCs w:val="24"/>
        </w:rPr>
        <w:t xml:space="preserve"> ierindoj</w:t>
      </w:r>
      <w:r>
        <w:rPr>
          <w:rFonts w:ascii="Times New Roman" w:hAnsi="Times New Roman" w:cs="Times New Roman"/>
          <w:iCs/>
          <w:sz w:val="24"/>
          <w:szCs w:val="24"/>
        </w:rPr>
        <w:t>oties</w:t>
      </w:r>
      <w:r w:rsidR="00833432" w:rsidRPr="005842B1">
        <w:rPr>
          <w:rFonts w:ascii="Times New Roman" w:hAnsi="Times New Roman" w:cs="Times New Roman"/>
          <w:iCs/>
          <w:sz w:val="24"/>
          <w:szCs w:val="24"/>
        </w:rPr>
        <w:t xml:space="preserve"> </w:t>
      </w:r>
      <w:r w:rsidR="000650DE" w:rsidRPr="005842B1">
        <w:rPr>
          <w:rFonts w:ascii="Times New Roman" w:hAnsi="Times New Roman" w:cs="Times New Roman"/>
          <w:iCs/>
          <w:sz w:val="24"/>
          <w:szCs w:val="24"/>
        </w:rPr>
        <w:t>trešaj</w:t>
      </w:r>
      <w:r w:rsidR="00833432" w:rsidRPr="005842B1">
        <w:rPr>
          <w:rFonts w:ascii="Times New Roman" w:hAnsi="Times New Roman" w:cs="Times New Roman"/>
          <w:iCs/>
          <w:sz w:val="24"/>
          <w:szCs w:val="24"/>
        </w:rPr>
        <w:t>ā vietā aiz Luksemburgas</w:t>
      </w:r>
      <w:r w:rsidR="000650DE" w:rsidRPr="005842B1">
        <w:rPr>
          <w:rFonts w:ascii="Times New Roman" w:hAnsi="Times New Roman" w:cs="Times New Roman"/>
          <w:iCs/>
          <w:sz w:val="24"/>
          <w:szCs w:val="24"/>
        </w:rPr>
        <w:t xml:space="preserve"> </w:t>
      </w:r>
      <w:r w:rsidR="00833432" w:rsidRPr="005842B1">
        <w:rPr>
          <w:rFonts w:ascii="Times New Roman" w:hAnsi="Times New Roman" w:cs="Times New Roman"/>
          <w:iCs/>
          <w:sz w:val="24"/>
          <w:szCs w:val="24"/>
        </w:rPr>
        <w:t xml:space="preserve">un </w:t>
      </w:r>
      <w:r w:rsidR="000650DE" w:rsidRPr="005842B1">
        <w:rPr>
          <w:rFonts w:ascii="Times New Roman" w:hAnsi="Times New Roman" w:cs="Times New Roman"/>
          <w:iCs/>
          <w:sz w:val="24"/>
          <w:szCs w:val="24"/>
        </w:rPr>
        <w:t>Slovēnijas</w:t>
      </w:r>
      <w:r w:rsidR="00833432" w:rsidRPr="005842B1">
        <w:rPr>
          <w:rFonts w:ascii="Times New Roman" w:hAnsi="Times New Roman" w:cs="Times New Roman"/>
          <w:iCs/>
          <w:sz w:val="24"/>
          <w:szCs w:val="24"/>
        </w:rPr>
        <w:t xml:space="preserve">. Latvijā </w:t>
      </w:r>
      <w:r w:rsidR="000650DE" w:rsidRPr="005842B1">
        <w:rPr>
          <w:rFonts w:ascii="Times New Roman" w:hAnsi="Times New Roman" w:cs="Times New Roman"/>
          <w:iCs/>
          <w:sz w:val="24"/>
          <w:szCs w:val="24"/>
        </w:rPr>
        <w:t>augļu un ogu</w:t>
      </w:r>
      <w:r w:rsidR="00833432" w:rsidRPr="005842B1">
        <w:rPr>
          <w:rFonts w:ascii="Times New Roman" w:hAnsi="Times New Roman" w:cs="Times New Roman"/>
          <w:iCs/>
          <w:sz w:val="24"/>
          <w:szCs w:val="24"/>
        </w:rPr>
        <w:t xml:space="preserve"> izlaides vērtība 2022.</w:t>
      </w:r>
      <w:r>
        <w:rPr>
          <w:rFonts w:ascii="Times New Roman" w:hAnsi="Times New Roman" w:cs="Times New Roman"/>
          <w:iCs/>
          <w:sz w:val="24"/>
          <w:szCs w:val="24"/>
        </w:rPr>
        <w:t xml:space="preserve"> </w:t>
      </w:r>
      <w:r w:rsidR="00833432" w:rsidRPr="005842B1">
        <w:rPr>
          <w:rFonts w:ascii="Times New Roman" w:hAnsi="Times New Roman" w:cs="Times New Roman"/>
          <w:iCs/>
          <w:sz w:val="24"/>
          <w:szCs w:val="24"/>
        </w:rPr>
        <w:t>gadā salīdzinājumā ar 2017.</w:t>
      </w:r>
      <w:r>
        <w:rPr>
          <w:rFonts w:ascii="Times New Roman" w:hAnsi="Times New Roman" w:cs="Times New Roman"/>
          <w:iCs/>
          <w:sz w:val="24"/>
          <w:szCs w:val="24"/>
        </w:rPr>
        <w:t xml:space="preserve"> </w:t>
      </w:r>
      <w:r w:rsidR="00833432" w:rsidRPr="005842B1">
        <w:rPr>
          <w:rFonts w:ascii="Times New Roman" w:hAnsi="Times New Roman" w:cs="Times New Roman"/>
          <w:iCs/>
          <w:sz w:val="24"/>
          <w:szCs w:val="24"/>
        </w:rPr>
        <w:t>gadu ir p</w:t>
      </w:r>
      <w:r>
        <w:rPr>
          <w:rFonts w:ascii="Times New Roman" w:hAnsi="Times New Roman" w:cs="Times New Roman"/>
          <w:iCs/>
          <w:sz w:val="24"/>
          <w:szCs w:val="24"/>
        </w:rPr>
        <w:t>alielinājusies</w:t>
      </w:r>
      <w:r w:rsidR="00833432" w:rsidRPr="005842B1">
        <w:rPr>
          <w:rFonts w:ascii="Times New Roman" w:hAnsi="Times New Roman" w:cs="Times New Roman"/>
          <w:iCs/>
          <w:sz w:val="24"/>
          <w:szCs w:val="24"/>
        </w:rPr>
        <w:t xml:space="preserve"> par </w:t>
      </w:r>
      <w:r w:rsidR="000650DE" w:rsidRPr="005842B1">
        <w:rPr>
          <w:rFonts w:ascii="Times New Roman" w:hAnsi="Times New Roman" w:cs="Times New Roman"/>
          <w:iCs/>
          <w:sz w:val="24"/>
          <w:szCs w:val="24"/>
        </w:rPr>
        <w:t>10</w:t>
      </w:r>
      <w:r w:rsidR="00833432" w:rsidRPr="005842B1">
        <w:rPr>
          <w:rFonts w:ascii="Times New Roman" w:hAnsi="Times New Roman" w:cs="Times New Roman"/>
          <w:iCs/>
          <w:sz w:val="24"/>
          <w:szCs w:val="24"/>
        </w:rPr>
        <w:t>0</w:t>
      </w:r>
      <w:r>
        <w:rPr>
          <w:rFonts w:ascii="Times New Roman" w:hAnsi="Times New Roman" w:cs="Times New Roman"/>
          <w:iCs/>
          <w:sz w:val="24"/>
          <w:szCs w:val="24"/>
        </w:rPr>
        <w:t> </w:t>
      </w:r>
      <w:r w:rsidR="00833432" w:rsidRPr="005842B1">
        <w:rPr>
          <w:rFonts w:ascii="Times New Roman" w:hAnsi="Times New Roman" w:cs="Times New Roman"/>
          <w:iCs/>
          <w:sz w:val="24"/>
          <w:szCs w:val="24"/>
        </w:rPr>
        <w:t>%.</w:t>
      </w:r>
      <w:r w:rsidR="005A73D4" w:rsidRPr="005842B1">
        <w:rPr>
          <w:rFonts w:ascii="Times New Roman" w:hAnsi="Times New Roman" w:cs="Times New Roman"/>
          <w:iCs/>
          <w:sz w:val="24"/>
          <w:szCs w:val="24"/>
        </w:rPr>
        <w:t xml:space="preserve"> </w:t>
      </w:r>
      <w:r>
        <w:rPr>
          <w:rFonts w:ascii="Times New Roman" w:hAnsi="Times New Roman" w:cs="Times New Roman"/>
          <w:iCs/>
          <w:sz w:val="24"/>
          <w:szCs w:val="24"/>
        </w:rPr>
        <w:t xml:space="preserve">Savukārt mūsu kaimiņvalstī </w:t>
      </w:r>
      <w:r w:rsidRPr="005842B1">
        <w:rPr>
          <w:rFonts w:ascii="Times New Roman" w:hAnsi="Times New Roman" w:cs="Times New Roman"/>
          <w:iCs/>
          <w:sz w:val="24"/>
          <w:szCs w:val="24"/>
        </w:rPr>
        <w:t xml:space="preserve">Lietuvā </w:t>
      </w:r>
      <w:r>
        <w:rPr>
          <w:rFonts w:ascii="Times New Roman" w:hAnsi="Times New Roman" w:cs="Times New Roman"/>
          <w:iCs/>
          <w:sz w:val="24"/>
          <w:szCs w:val="24"/>
        </w:rPr>
        <w:t>k</w:t>
      </w:r>
      <w:r w:rsidR="00833432" w:rsidRPr="005842B1">
        <w:rPr>
          <w:rFonts w:ascii="Times New Roman" w:hAnsi="Times New Roman" w:cs="Times New Roman"/>
          <w:iCs/>
          <w:sz w:val="24"/>
          <w:szCs w:val="24"/>
        </w:rPr>
        <w:t>opš 2017.</w:t>
      </w:r>
      <w:r>
        <w:rPr>
          <w:rFonts w:ascii="Times New Roman" w:hAnsi="Times New Roman" w:cs="Times New Roman"/>
          <w:iCs/>
          <w:sz w:val="24"/>
          <w:szCs w:val="24"/>
        </w:rPr>
        <w:t> </w:t>
      </w:r>
      <w:r w:rsidR="00833432" w:rsidRPr="005842B1">
        <w:rPr>
          <w:rFonts w:ascii="Times New Roman" w:hAnsi="Times New Roman" w:cs="Times New Roman"/>
          <w:iCs/>
          <w:sz w:val="24"/>
          <w:szCs w:val="24"/>
        </w:rPr>
        <w:t xml:space="preserve">gada </w:t>
      </w:r>
      <w:r w:rsidR="005C2506" w:rsidRPr="005842B1">
        <w:rPr>
          <w:rFonts w:ascii="Times New Roman" w:hAnsi="Times New Roman" w:cs="Times New Roman"/>
          <w:iCs/>
          <w:sz w:val="24"/>
          <w:szCs w:val="24"/>
        </w:rPr>
        <w:t>augļu un ogu</w:t>
      </w:r>
      <w:r w:rsidR="00833432" w:rsidRPr="005842B1">
        <w:rPr>
          <w:rFonts w:ascii="Times New Roman" w:hAnsi="Times New Roman" w:cs="Times New Roman"/>
          <w:iCs/>
          <w:sz w:val="24"/>
          <w:szCs w:val="24"/>
        </w:rPr>
        <w:t xml:space="preserve"> izlaides vērtība ir pieaugusi par </w:t>
      </w:r>
      <w:r w:rsidR="005A73D4" w:rsidRPr="005842B1">
        <w:rPr>
          <w:rFonts w:ascii="Times New Roman" w:hAnsi="Times New Roman" w:cs="Times New Roman"/>
          <w:iCs/>
          <w:sz w:val="24"/>
          <w:szCs w:val="24"/>
        </w:rPr>
        <w:t>34</w:t>
      </w:r>
      <w:r>
        <w:rPr>
          <w:rFonts w:ascii="Times New Roman" w:hAnsi="Times New Roman" w:cs="Times New Roman"/>
          <w:iCs/>
          <w:sz w:val="24"/>
          <w:szCs w:val="24"/>
        </w:rPr>
        <w:t> </w:t>
      </w:r>
      <w:r w:rsidR="00833432" w:rsidRPr="005842B1">
        <w:rPr>
          <w:rFonts w:ascii="Times New Roman" w:hAnsi="Times New Roman" w:cs="Times New Roman"/>
          <w:iCs/>
          <w:sz w:val="24"/>
          <w:szCs w:val="24"/>
        </w:rPr>
        <w:t>%</w:t>
      </w:r>
      <w:r>
        <w:rPr>
          <w:rFonts w:ascii="Times New Roman" w:hAnsi="Times New Roman" w:cs="Times New Roman"/>
          <w:iCs/>
          <w:sz w:val="24"/>
          <w:szCs w:val="24"/>
        </w:rPr>
        <w:t xml:space="preserve"> un kopumā</w:t>
      </w:r>
      <w:r w:rsidR="00833432" w:rsidRPr="005842B1">
        <w:rPr>
          <w:rFonts w:ascii="Times New Roman" w:hAnsi="Times New Roman" w:cs="Times New Roman"/>
          <w:iCs/>
          <w:sz w:val="24"/>
          <w:szCs w:val="24"/>
        </w:rPr>
        <w:t xml:space="preserve"> Eiropas Savienības dalībvalstīs </w:t>
      </w:r>
      <w:r w:rsidRPr="005842B1">
        <w:rPr>
          <w:rFonts w:ascii="Times New Roman" w:hAnsi="Times New Roman" w:cs="Times New Roman"/>
          <w:iCs/>
          <w:sz w:val="24"/>
          <w:szCs w:val="24"/>
        </w:rPr>
        <w:t xml:space="preserve">vidēji </w:t>
      </w:r>
      <w:r w:rsidR="00833432" w:rsidRPr="005842B1">
        <w:rPr>
          <w:rFonts w:ascii="Times New Roman" w:hAnsi="Times New Roman" w:cs="Times New Roman"/>
          <w:iCs/>
          <w:sz w:val="24"/>
          <w:szCs w:val="24"/>
        </w:rPr>
        <w:t>par 2</w:t>
      </w:r>
      <w:r w:rsidR="005A73D4" w:rsidRPr="005842B1">
        <w:rPr>
          <w:rFonts w:ascii="Times New Roman" w:hAnsi="Times New Roman" w:cs="Times New Roman"/>
          <w:iCs/>
          <w:sz w:val="24"/>
          <w:szCs w:val="24"/>
        </w:rPr>
        <w:t>6</w:t>
      </w:r>
      <w:r>
        <w:rPr>
          <w:rFonts w:ascii="Times New Roman" w:hAnsi="Times New Roman" w:cs="Times New Roman"/>
          <w:iCs/>
          <w:sz w:val="24"/>
          <w:szCs w:val="24"/>
        </w:rPr>
        <w:t xml:space="preserve"> </w:t>
      </w:r>
      <w:r w:rsidR="00833432" w:rsidRPr="005842B1">
        <w:rPr>
          <w:rFonts w:ascii="Times New Roman" w:hAnsi="Times New Roman" w:cs="Times New Roman"/>
          <w:iCs/>
          <w:sz w:val="24"/>
          <w:szCs w:val="24"/>
        </w:rPr>
        <w:t xml:space="preserve">%, </w:t>
      </w:r>
      <w:r>
        <w:rPr>
          <w:rFonts w:ascii="Times New Roman" w:hAnsi="Times New Roman" w:cs="Times New Roman"/>
          <w:iCs/>
          <w:sz w:val="24"/>
          <w:szCs w:val="24"/>
        </w:rPr>
        <w:t>turpretī</w:t>
      </w:r>
      <w:r w:rsidR="00833432" w:rsidRPr="005842B1">
        <w:rPr>
          <w:rFonts w:ascii="Times New Roman" w:hAnsi="Times New Roman" w:cs="Times New Roman"/>
          <w:iCs/>
          <w:sz w:val="24"/>
          <w:szCs w:val="24"/>
        </w:rPr>
        <w:t xml:space="preserve"> Igaunijā </w:t>
      </w:r>
      <w:r>
        <w:rPr>
          <w:rFonts w:ascii="Times New Roman" w:hAnsi="Times New Roman" w:cs="Times New Roman"/>
          <w:iCs/>
          <w:sz w:val="24"/>
          <w:szCs w:val="24"/>
        </w:rPr>
        <w:t xml:space="preserve">tā </w:t>
      </w:r>
      <w:r w:rsidR="005A73D4" w:rsidRPr="005842B1">
        <w:rPr>
          <w:rFonts w:ascii="Times New Roman" w:hAnsi="Times New Roman" w:cs="Times New Roman"/>
          <w:iCs/>
          <w:sz w:val="24"/>
          <w:szCs w:val="24"/>
        </w:rPr>
        <w:t xml:space="preserve">samazinājusies </w:t>
      </w:r>
      <w:r w:rsidR="00833432" w:rsidRPr="005842B1">
        <w:rPr>
          <w:rFonts w:ascii="Times New Roman" w:hAnsi="Times New Roman" w:cs="Times New Roman"/>
          <w:iCs/>
          <w:sz w:val="24"/>
          <w:szCs w:val="24"/>
        </w:rPr>
        <w:t xml:space="preserve">par </w:t>
      </w:r>
      <w:r w:rsidR="005A73D4" w:rsidRPr="005842B1">
        <w:rPr>
          <w:rFonts w:ascii="Times New Roman" w:hAnsi="Times New Roman" w:cs="Times New Roman"/>
          <w:iCs/>
          <w:sz w:val="24"/>
          <w:szCs w:val="24"/>
        </w:rPr>
        <w:t>9</w:t>
      </w:r>
      <w:r>
        <w:rPr>
          <w:rFonts w:ascii="Times New Roman" w:hAnsi="Times New Roman" w:cs="Times New Roman"/>
          <w:iCs/>
          <w:sz w:val="24"/>
          <w:szCs w:val="24"/>
        </w:rPr>
        <w:t> </w:t>
      </w:r>
      <w:r w:rsidR="00833432" w:rsidRPr="005842B1">
        <w:rPr>
          <w:rFonts w:ascii="Times New Roman" w:hAnsi="Times New Roman" w:cs="Times New Roman"/>
          <w:iCs/>
          <w:sz w:val="24"/>
          <w:szCs w:val="24"/>
        </w:rPr>
        <w:t>%</w:t>
      </w:r>
      <w:r w:rsidR="00EA1ECB" w:rsidRPr="005842B1">
        <w:rPr>
          <w:rFonts w:ascii="Times New Roman" w:hAnsi="Times New Roman" w:cs="Times New Roman"/>
          <w:iCs/>
          <w:sz w:val="24"/>
          <w:szCs w:val="24"/>
        </w:rPr>
        <w:t xml:space="preserve"> (1</w:t>
      </w:r>
      <w:r w:rsidR="00442B17">
        <w:rPr>
          <w:rFonts w:ascii="Times New Roman" w:hAnsi="Times New Roman" w:cs="Times New Roman"/>
          <w:iCs/>
          <w:sz w:val="24"/>
          <w:szCs w:val="24"/>
        </w:rPr>
        <w:t>1</w:t>
      </w:r>
      <w:r w:rsidR="00EA1ECB" w:rsidRPr="005842B1">
        <w:rPr>
          <w:rFonts w:ascii="Times New Roman" w:hAnsi="Times New Roman" w:cs="Times New Roman"/>
          <w:iCs/>
          <w:sz w:val="24"/>
          <w:szCs w:val="24"/>
        </w:rPr>
        <w:t>.</w:t>
      </w:r>
      <w:r>
        <w:rPr>
          <w:rFonts w:ascii="Times New Roman" w:hAnsi="Times New Roman" w:cs="Times New Roman"/>
          <w:iCs/>
          <w:sz w:val="24"/>
          <w:szCs w:val="24"/>
        </w:rPr>
        <w:t xml:space="preserve"> </w:t>
      </w:r>
      <w:r w:rsidR="00EA1ECB" w:rsidRPr="005842B1">
        <w:rPr>
          <w:rFonts w:ascii="Times New Roman" w:hAnsi="Times New Roman" w:cs="Times New Roman"/>
          <w:iCs/>
          <w:sz w:val="24"/>
          <w:szCs w:val="24"/>
        </w:rPr>
        <w:t>attēls)</w:t>
      </w:r>
      <w:r w:rsidR="00833432" w:rsidRPr="005842B1">
        <w:rPr>
          <w:rFonts w:ascii="Times New Roman" w:hAnsi="Times New Roman" w:cs="Times New Roman"/>
          <w:iCs/>
          <w:sz w:val="24"/>
          <w:szCs w:val="24"/>
        </w:rPr>
        <w:t>.</w:t>
      </w:r>
      <w:r w:rsidR="00833432">
        <w:rPr>
          <w:rFonts w:ascii="Times New Roman" w:hAnsi="Times New Roman" w:cs="Times New Roman"/>
          <w:iCs/>
          <w:sz w:val="24"/>
          <w:szCs w:val="24"/>
        </w:rPr>
        <w:t xml:space="preserve"> </w:t>
      </w:r>
    </w:p>
    <w:p w14:paraId="31B8CB1E" w14:textId="5331396D" w:rsidR="00AC18D1" w:rsidRDefault="00AC18D1" w:rsidP="001D5828">
      <w:pPr>
        <w:spacing w:before="120" w:after="120" w:line="240" w:lineRule="auto"/>
        <w:ind w:firstLine="142"/>
        <w:jc w:val="both"/>
        <w:rPr>
          <w:rFonts w:ascii="Times New Roman" w:hAnsi="Times New Roman" w:cs="Times New Roman"/>
          <w:iCs/>
          <w:sz w:val="24"/>
          <w:szCs w:val="24"/>
        </w:rPr>
      </w:pPr>
    </w:p>
    <w:p w14:paraId="2654D424" w14:textId="2CFB8728" w:rsidR="008D618A" w:rsidRDefault="008D618A" w:rsidP="00A7697F">
      <w:pPr>
        <w:spacing w:before="120" w:after="120" w:line="240" w:lineRule="auto"/>
        <w:ind w:hanging="142"/>
        <w:jc w:val="both"/>
        <w:rPr>
          <w:rFonts w:ascii="Times New Roman" w:hAnsi="Times New Roman" w:cs="Times New Roman"/>
          <w:iCs/>
          <w:sz w:val="24"/>
          <w:szCs w:val="24"/>
        </w:rPr>
      </w:pPr>
      <w:r>
        <w:rPr>
          <w:noProof/>
        </w:rPr>
        <w:lastRenderedPageBreak/>
        <w:drawing>
          <wp:inline distT="0" distB="0" distL="0" distR="0" wp14:anchorId="487CD356" wp14:editId="1167F6E6">
            <wp:extent cx="5914390" cy="3210128"/>
            <wp:effectExtent l="0" t="0" r="10160" b="9525"/>
            <wp:docPr id="2" name="Chart 2">
              <a:extLst xmlns:a="http://schemas.openxmlformats.org/drawingml/2006/main">
                <a:ext uri="{FF2B5EF4-FFF2-40B4-BE49-F238E27FC236}">
                  <a16:creationId xmlns:a16="http://schemas.microsoft.com/office/drawing/2014/main" id="{0BE62158-D120-4B22-976F-17839815DF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8E5997" w14:textId="6D00052C" w:rsidR="00256A08" w:rsidRPr="005842B1" w:rsidRDefault="00BF2A42" w:rsidP="00256A08">
      <w:pPr>
        <w:spacing w:after="0" w:line="240" w:lineRule="auto"/>
        <w:ind w:firstLine="720"/>
        <w:jc w:val="both"/>
        <w:rPr>
          <w:rFonts w:ascii="Times New Roman" w:hAnsi="Times New Roman" w:cs="Times New Roman"/>
          <w:sz w:val="24"/>
          <w:szCs w:val="24"/>
        </w:rPr>
      </w:pPr>
      <w:r w:rsidRPr="00A7697F">
        <w:rPr>
          <w:rFonts w:ascii="Times New Roman" w:hAnsi="Times New Roman" w:cs="Times New Roman"/>
          <w:iCs/>
          <w:sz w:val="24"/>
          <w:szCs w:val="24"/>
        </w:rPr>
        <w:t>1</w:t>
      </w:r>
      <w:r w:rsidR="00A7697F" w:rsidRPr="00A7697F">
        <w:rPr>
          <w:rFonts w:ascii="Times New Roman" w:hAnsi="Times New Roman" w:cs="Times New Roman"/>
          <w:iCs/>
          <w:sz w:val="24"/>
          <w:szCs w:val="24"/>
        </w:rPr>
        <w:t>2</w:t>
      </w:r>
      <w:r w:rsidR="00E963C5" w:rsidRPr="00A7697F">
        <w:rPr>
          <w:rFonts w:ascii="Times New Roman" w:hAnsi="Times New Roman" w:cs="Times New Roman"/>
          <w:iCs/>
          <w:sz w:val="24"/>
          <w:szCs w:val="24"/>
        </w:rPr>
        <w:t>.</w:t>
      </w:r>
      <w:r w:rsidRPr="00A7697F">
        <w:rPr>
          <w:rFonts w:ascii="Times New Roman" w:hAnsi="Times New Roman" w:cs="Times New Roman"/>
          <w:iCs/>
          <w:sz w:val="24"/>
          <w:szCs w:val="24"/>
        </w:rPr>
        <w:t> </w:t>
      </w:r>
      <w:r w:rsidR="00E963C5" w:rsidRPr="00A7697F">
        <w:rPr>
          <w:rFonts w:ascii="Times New Roman" w:hAnsi="Times New Roman" w:cs="Times New Roman"/>
          <w:iCs/>
          <w:sz w:val="24"/>
          <w:szCs w:val="24"/>
        </w:rPr>
        <w:t xml:space="preserve">attēls. </w:t>
      </w:r>
      <w:r w:rsidR="00E963C5" w:rsidRPr="00A7697F">
        <w:rPr>
          <w:rFonts w:ascii="Times New Roman" w:hAnsi="Times New Roman" w:cs="Times New Roman"/>
          <w:sz w:val="24"/>
          <w:szCs w:val="24"/>
        </w:rPr>
        <w:t>Dārzeņu</w:t>
      </w:r>
      <w:r w:rsidR="00642BAB" w:rsidRPr="005842B1">
        <w:rPr>
          <w:rFonts w:ascii="Times New Roman" w:hAnsi="Times New Roman" w:cs="Times New Roman"/>
          <w:sz w:val="24"/>
          <w:szCs w:val="24"/>
        </w:rPr>
        <w:t xml:space="preserve"> </w:t>
      </w:r>
      <w:r w:rsidR="004F096D" w:rsidRPr="005842B1">
        <w:rPr>
          <w:rFonts w:ascii="Times New Roman" w:hAnsi="Times New Roman" w:cs="Times New Roman"/>
          <w:sz w:val="24"/>
          <w:szCs w:val="24"/>
        </w:rPr>
        <w:t xml:space="preserve">izlaides </w:t>
      </w:r>
      <w:r w:rsidR="00E963C5" w:rsidRPr="005842B1">
        <w:rPr>
          <w:rFonts w:ascii="Times New Roman" w:hAnsi="Times New Roman" w:cs="Times New Roman"/>
          <w:sz w:val="24"/>
          <w:szCs w:val="24"/>
        </w:rPr>
        <w:t xml:space="preserve">vērtības </w:t>
      </w:r>
      <w:r w:rsidR="00E53959">
        <w:rPr>
          <w:rFonts w:ascii="Times New Roman" w:hAnsi="Times New Roman" w:cs="Times New Roman"/>
          <w:sz w:val="24"/>
          <w:szCs w:val="24"/>
        </w:rPr>
        <w:t>pār</w:t>
      </w:r>
      <w:r w:rsidR="00E963C5" w:rsidRPr="005842B1">
        <w:rPr>
          <w:rFonts w:ascii="Times New Roman" w:hAnsi="Times New Roman" w:cs="Times New Roman"/>
          <w:sz w:val="24"/>
          <w:szCs w:val="24"/>
        </w:rPr>
        <w:t xml:space="preserve">maiņas </w:t>
      </w:r>
      <w:r w:rsidR="00256A08" w:rsidRPr="005842B1">
        <w:rPr>
          <w:rFonts w:ascii="Times New Roman" w:hAnsi="Times New Roman" w:cs="Times New Roman"/>
          <w:sz w:val="24"/>
          <w:szCs w:val="24"/>
        </w:rPr>
        <w:t>Latvijā salīdzinājumā ar citām Eiropas Savienības dalībvalstīm, 2022.</w:t>
      </w:r>
      <w:r w:rsidR="00E53959">
        <w:rPr>
          <w:rFonts w:ascii="Times New Roman" w:hAnsi="Times New Roman" w:cs="Times New Roman"/>
          <w:sz w:val="24"/>
          <w:szCs w:val="24"/>
        </w:rPr>
        <w:t xml:space="preserve"> </w:t>
      </w:r>
      <w:r w:rsidR="00256A08" w:rsidRPr="005842B1">
        <w:rPr>
          <w:rFonts w:ascii="Times New Roman" w:hAnsi="Times New Roman" w:cs="Times New Roman"/>
          <w:sz w:val="24"/>
          <w:szCs w:val="24"/>
        </w:rPr>
        <w:t>gad</w:t>
      </w:r>
      <w:r w:rsidR="00E53959">
        <w:rPr>
          <w:rFonts w:ascii="Times New Roman" w:hAnsi="Times New Roman" w:cs="Times New Roman"/>
          <w:sz w:val="24"/>
          <w:szCs w:val="24"/>
        </w:rPr>
        <w:t>u</w:t>
      </w:r>
      <w:r w:rsidR="00256A08" w:rsidRPr="005842B1">
        <w:rPr>
          <w:rFonts w:ascii="Times New Roman" w:hAnsi="Times New Roman" w:cs="Times New Roman"/>
          <w:sz w:val="24"/>
          <w:szCs w:val="24"/>
        </w:rPr>
        <w:t xml:space="preserve"> salīdzinot ar 2017.</w:t>
      </w:r>
      <w:r w:rsidR="00E53959">
        <w:rPr>
          <w:rFonts w:ascii="Times New Roman" w:hAnsi="Times New Roman" w:cs="Times New Roman"/>
          <w:sz w:val="24"/>
          <w:szCs w:val="24"/>
        </w:rPr>
        <w:t xml:space="preserve"> </w:t>
      </w:r>
      <w:r w:rsidR="00256A08" w:rsidRPr="005842B1">
        <w:rPr>
          <w:rFonts w:ascii="Times New Roman" w:hAnsi="Times New Roman" w:cs="Times New Roman"/>
          <w:sz w:val="24"/>
          <w:szCs w:val="24"/>
        </w:rPr>
        <w:t>gadu, procentos.</w:t>
      </w:r>
    </w:p>
    <w:p w14:paraId="4FCC2605" w14:textId="7E2B69FF" w:rsidR="00E963C5" w:rsidRPr="005842B1" w:rsidRDefault="00E963C5" w:rsidP="002046CA">
      <w:pPr>
        <w:spacing w:after="120" w:line="240" w:lineRule="auto"/>
        <w:ind w:firstLine="720"/>
        <w:jc w:val="both"/>
        <w:rPr>
          <w:rFonts w:ascii="Times New Roman" w:hAnsi="Times New Roman" w:cs="Times New Roman"/>
          <w:sz w:val="20"/>
          <w:szCs w:val="20"/>
        </w:rPr>
      </w:pPr>
      <w:r w:rsidRPr="005842B1">
        <w:rPr>
          <w:rFonts w:ascii="Times New Roman" w:hAnsi="Times New Roman" w:cs="Times New Roman"/>
          <w:i/>
          <w:sz w:val="20"/>
          <w:szCs w:val="20"/>
        </w:rPr>
        <w:t xml:space="preserve">Avots: </w:t>
      </w:r>
      <w:r w:rsidRPr="005842B1">
        <w:rPr>
          <w:rFonts w:ascii="Times New Roman" w:hAnsi="Times New Roman" w:cs="Times New Roman"/>
          <w:sz w:val="20"/>
          <w:szCs w:val="20"/>
        </w:rPr>
        <w:t xml:space="preserve">ZM pēc </w:t>
      </w:r>
      <w:r w:rsidRPr="005842B1">
        <w:rPr>
          <w:rFonts w:ascii="Times New Roman" w:hAnsi="Times New Roman" w:cs="Times New Roman"/>
          <w:i/>
          <w:sz w:val="20"/>
          <w:szCs w:val="20"/>
        </w:rPr>
        <w:t>Eurostat</w:t>
      </w:r>
      <w:r w:rsidRPr="005842B1">
        <w:rPr>
          <w:rFonts w:ascii="Times New Roman" w:hAnsi="Times New Roman" w:cs="Times New Roman"/>
          <w:sz w:val="20"/>
          <w:szCs w:val="20"/>
        </w:rPr>
        <w:t xml:space="preserve"> un </w:t>
      </w:r>
      <w:proofErr w:type="spellStart"/>
      <w:r w:rsidRPr="005842B1">
        <w:rPr>
          <w:rFonts w:ascii="Times New Roman" w:hAnsi="Times New Roman" w:cs="Times New Roman"/>
          <w:sz w:val="20"/>
          <w:szCs w:val="20"/>
        </w:rPr>
        <w:t>Agroresursu</w:t>
      </w:r>
      <w:proofErr w:type="spellEnd"/>
      <w:r w:rsidRPr="005842B1">
        <w:rPr>
          <w:rFonts w:ascii="Times New Roman" w:hAnsi="Times New Roman" w:cs="Times New Roman"/>
          <w:sz w:val="20"/>
          <w:szCs w:val="20"/>
        </w:rPr>
        <w:t xml:space="preserve"> un ekonomikas institūta datiem</w:t>
      </w:r>
    </w:p>
    <w:p w14:paraId="2BDBE073" w14:textId="0BE6DA07" w:rsidR="00E963C5" w:rsidRDefault="00E963C5" w:rsidP="00E963C5">
      <w:pPr>
        <w:spacing w:after="0" w:line="240" w:lineRule="auto"/>
        <w:ind w:firstLine="720"/>
        <w:jc w:val="both"/>
        <w:rPr>
          <w:rFonts w:ascii="Times New Roman" w:hAnsi="Times New Roman" w:cs="Times New Roman"/>
          <w:iCs/>
          <w:sz w:val="24"/>
          <w:szCs w:val="24"/>
        </w:rPr>
      </w:pPr>
      <w:r w:rsidRPr="005842B1">
        <w:rPr>
          <w:rFonts w:ascii="Times New Roman" w:hAnsi="Times New Roman" w:cs="Times New Roman"/>
          <w:iCs/>
          <w:sz w:val="24"/>
          <w:szCs w:val="24"/>
        </w:rPr>
        <w:t xml:space="preserve">Latvija ir </w:t>
      </w:r>
      <w:r w:rsidR="001662E2">
        <w:rPr>
          <w:rFonts w:ascii="Times New Roman" w:hAnsi="Times New Roman" w:cs="Times New Roman"/>
          <w:iCs/>
          <w:sz w:val="24"/>
          <w:szCs w:val="24"/>
        </w:rPr>
        <w:t xml:space="preserve">virs </w:t>
      </w:r>
      <w:r w:rsidRPr="005842B1">
        <w:rPr>
          <w:rFonts w:ascii="Times New Roman" w:hAnsi="Times New Roman" w:cs="Times New Roman"/>
          <w:iCs/>
          <w:sz w:val="24"/>
          <w:szCs w:val="24"/>
        </w:rPr>
        <w:t>Eiropas Savienības dalībvalst</w:t>
      </w:r>
      <w:r w:rsidR="001662E2">
        <w:rPr>
          <w:rFonts w:ascii="Times New Roman" w:hAnsi="Times New Roman" w:cs="Times New Roman"/>
          <w:iCs/>
          <w:sz w:val="24"/>
          <w:szCs w:val="24"/>
        </w:rPr>
        <w:t>u vidējā rādītāja</w:t>
      </w:r>
      <w:r w:rsidRPr="005842B1">
        <w:rPr>
          <w:rFonts w:ascii="Times New Roman" w:hAnsi="Times New Roman" w:cs="Times New Roman"/>
          <w:iCs/>
          <w:sz w:val="24"/>
          <w:szCs w:val="24"/>
        </w:rPr>
        <w:t xml:space="preserve"> </w:t>
      </w:r>
      <w:r w:rsidR="00E53959">
        <w:rPr>
          <w:rFonts w:ascii="Times New Roman" w:hAnsi="Times New Roman" w:cs="Times New Roman"/>
          <w:iCs/>
          <w:sz w:val="24"/>
          <w:szCs w:val="24"/>
        </w:rPr>
        <w:t xml:space="preserve">arī </w:t>
      </w:r>
      <w:r w:rsidRPr="005842B1">
        <w:rPr>
          <w:rFonts w:ascii="Times New Roman" w:hAnsi="Times New Roman" w:cs="Times New Roman"/>
          <w:iCs/>
          <w:sz w:val="24"/>
          <w:szCs w:val="24"/>
        </w:rPr>
        <w:t xml:space="preserve">dārzeņu izlaides vērtības </w:t>
      </w:r>
      <w:r w:rsidR="00E53959">
        <w:rPr>
          <w:rFonts w:ascii="Times New Roman" w:hAnsi="Times New Roman" w:cs="Times New Roman"/>
          <w:iCs/>
          <w:sz w:val="24"/>
          <w:szCs w:val="24"/>
        </w:rPr>
        <w:t>pār</w:t>
      </w:r>
      <w:r w:rsidRPr="005842B1">
        <w:rPr>
          <w:rFonts w:ascii="Times New Roman" w:hAnsi="Times New Roman" w:cs="Times New Roman"/>
          <w:iCs/>
          <w:sz w:val="24"/>
          <w:szCs w:val="24"/>
        </w:rPr>
        <w:t>maiņu rādītājos</w:t>
      </w:r>
      <w:r w:rsidR="00224F5F" w:rsidRPr="005842B1">
        <w:rPr>
          <w:rFonts w:ascii="Times New Roman" w:hAnsi="Times New Roman" w:cs="Times New Roman"/>
          <w:iCs/>
          <w:sz w:val="24"/>
          <w:szCs w:val="24"/>
        </w:rPr>
        <w:t>,</w:t>
      </w:r>
      <w:r w:rsidRPr="005842B1">
        <w:rPr>
          <w:rFonts w:ascii="Times New Roman" w:hAnsi="Times New Roman" w:cs="Times New Roman"/>
          <w:iCs/>
          <w:sz w:val="24"/>
          <w:szCs w:val="24"/>
        </w:rPr>
        <w:t xml:space="preserve"> salīdzinot 2022.</w:t>
      </w:r>
      <w:r w:rsidR="00AB0549" w:rsidRPr="005842B1">
        <w:rPr>
          <w:rFonts w:ascii="Times New Roman" w:hAnsi="Times New Roman" w:cs="Times New Roman"/>
          <w:iCs/>
          <w:sz w:val="24"/>
          <w:szCs w:val="24"/>
        </w:rPr>
        <w:t> </w:t>
      </w:r>
      <w:r w:rsidRPr="005842B1">
        <w:rPr>
          <w:rFonts w:ascii="Times New Roman" w:hAnsi="Times New Roman" w:cs="Times New Roman"/>
          <w:iCs/>
          <w:sz w:val="24"/>
          <w:szCs w:val="24"/>
        </w:rPr>
        <w:t>ar 2017.</w:t>
      </w:r>
      <w:r w:rsidR="00AB0549" w:rsidRPr="005842B1">
        <w:rPr>
          <w:rFonts w:ascii="Times New Roman" w:hAnsi="Times New Roman" w:cs="Times New Roman"/>
          <w:iCs/>
          <w:sz w:val="24"/>
          <w:szCs w:val="24"/>
        </w:rPr>
        <w:t> </w:t>
      </w:r>
      <w:r w:rsidRPr="005842B1">
        <w:rPr>
          <w:rFonts w:ascii="Times New Roman" w:hAnsi="Times New Roman" w:cs="Times New Roman"/>
          <w:iCs/>
          <w:sz w:val="24"/>
          <w:szCs w:val="24"/>
        </w:rPr>
        <w:t>gad</w:t>
      </w:r>
      <w:r w:rsidR="00E53959">
        <w:rPr>
          <w:rFonts w:ascii="Times New Roman" w:hAnsi="Times New Roman" w:cs="Times New Roman"/>
          <w:iCs/>
          <w:sz w:val="24"/>
          <w:szCs w:val="24"/>
        </w:rPr>
        <w:t>a rādītājus</w:t>
      </w:r>
      <w:r w:rsidRPr="005842B1">
        <w:rPr>
          <w:rFonts w:ascii="Times New Roman" w:hAnsi="Times New Roman" w:cs="Times New Roman"/>
          <w:iCs/>
          <w:sz w:val="24"/>
          <w:szCs w:val="24"/>
        </w:rPr>
        <w:t xml:space="preserve">. </w:t>
      </w:r>
      <w:r w:rsidR="00E53959">
        <w:rPr>
          <w:rFonts w:ascii="Times New Roman" w:hAnsi="Times New Roman" w:cs="Times New Roman"/>
          <w:iCs/>
          <w:sz w:val="24"/>
          <w:szCs w:val="24"/>
        </w:rPr>
        <w:t>S</w:t>
      </w:r>
      <w:r w:rsidR="00E53959" w:rsidRPr="005842B1">
        <w:rPr>
          <w:rFonts w:ascii="Times New Roman" w:hAnsi="Times New Roman" w:cs="Times New Roman"/>
          <w:iCs/>
          <w:sz w:val="24"/>
          <w:szCs w:val="24"/>
        </w:rPr>
        <w:t xml:space="preserve">alīdzinājumā ar 2017. gadu </w:t>
      </w:r>
      <w:r w:rsidRPr="005842B1">
        <w:rPr>
          <w:rFonts w:ascii="Times New Roman" w:hAnsi="Times New Roman" w:cs="Times New Roman"/>
          <w:iCs/>
          <w:sz w:val="24"/>
          <w:szCs w:val="24"/>
        </w:rPr>
        <w:t xml:space="preserve">Latvijā </w:t>
      </w:r>
      <w:r w:rsidR="00E53959" w:rsidRPr="005842B1">
        <w:rPr>
          <w:rFonts w:ascii="Times New Roman" w:hAnsi="Times New Roman" w:cs="Times New Roman"/>
          <w:iCs/>
          <w:sz w:val="24"/>
          <w:szCs w:val="24"/>
        </w:rPr>
        <w:t xml:space="preserve">2022. gadā saražoto </w:t>
      </w:r>
      <w:r w:rsidRPr="005842B1">
        <w:rPr>
          <w:rFonts w:ascii="Times New Roman" w:hAnsi="Times New Roman" w:cs="Times New Roman"/>
          <w:iCs/>
          <w:sz w:val="24"/>
          <w:szCs w:val="24"/>
        </w:rPr>
        <w:t xml:space="preserve">dārzeņu izlaides vērtība ir pieaugusi par </w:t>
      </w:r>
      <w:r w:rsidR="00394085">
        <w:rPr>
          <w:rFonts w:ascii="Times New Roman" w:hAnsi="Times New Roman" w:cs="Times New Roman"/>
          <w:iCs/>
          <w:sz w:val="24"/>
          <w:szCs w:val="24"/>
        </w:rPr>
        <w:t>25</w:t>
      </w:r>
      <w:r w:rsidR="00EF5E2C">
        <w:rPr>
          <w:rFonts w:ascii="Times New Roman" w:hAnsi="Times New Roman" w:cs="Times New Roman"/>
          <w:iCs/>
          <w:sz w:val="24"/>
          <w:szCs w:val="24"/>
        </w:rPr>
        <w:t> </w:t>
      </w:r>
      <w:r w:rsidRPr="005842B1">
        <w:rPr>
          <w:rFonts w:ascii="Times New Roman" w:hAnsi="Times New Roman" w:cs="Times New Roman"/>
          <w:iCs/>
          <w:sz w:val="24"/>
          <w:szCs w:val="24"/>
        </w:rPr>
        <w:t>%</w:t>
      </w:r>
      <w:r w:rsidR="00E53959">
        <w:rPr>
          <w:rFonts w:ascii="Times New Roman" w:hAnsi="Times New Roman" w:cs="Times New Roman"/>
          <w:iCs/>
          <w:sz w:val="24"/>
          <w:szCs w:val="24"/>
        </w:rPr>
        <w:t>,</w:t>
      </w:r>
      <w:r w:rsidRPr="005842B1">
        <w:rPr>
          <w:rFonts w:ascii="Times New Roman" w:hAnsi="Times New Roman" w:cs="Times New Roman"/>
          <w:iCs/>
          <w:sz w:val="24"/>
          <w:szCs w:val="24"/>
        </w:rPr>
        <w:t xml:space="preserve"> Lietuvā </w:t>
      </w:r>
      <w:r w:rsidR="00E53959">
        <w:rPr>
          <w:rFonts w:ascii="Times New Roman" w:hAnsi="Times New Roman" w:cs="Times New Roman"/>
          <w:iCs/>
          <w:sz w:val="24"/>
          <w:szCs w:val="24"/>
        </w:rPr>
        <w:t xml:space="preserve">– </w:t>
      </w:r>
      <w:r w:rsidRPr="005842B1">
        <w:rPr>
          <w:rFonts w:ascii="Times New Roman" w:hAnsi="Times New Roman" w:cs="Times New Roman"/>
          <w:iCs/>
          <w:sz w:val="24"/>
          <w:szCs w:val="24"/>
        </w:rPr>
        <w:t>par 107</w:t>
      </w:r>
      <w:r w:rsidR="00EF5E2C">
        <w:rPr>
          <w:rFonts w:ascii="Times New Roman" w:hAnsi="Times New Roman" w:cs="Times New Roman"/>
          <w:iCs/>
          <w:sz w:val="24"/>
          <w:szCs w:val="24"/>
        </w:rPr>
        <w:t> </w:t>
      </w:r>
      <w:r w:rsidRPr="005842B1">
        <w:rPr>
          <w:rFonts w:ascii="Times New Roman" w:hAnsi="Times New Roman" w:cs="Times New Roman"/>
          <w:iCs/>
          <w:sz w:val="24"/>
          <w:szCs w:val="24"/>
        </w:rPr>
        <w:t xml:space="preserve">%, </w:t>
      </w:r>
      <w:r w:rsidR="00E53959" w:rsidRPr="005842B1">
        <w:rPr>
          <w:rFonts w:ascii="Times New Roman" w:hAnsi="Times New Roman" w:cs="Times New Roman"/>
          <w:iCs/>
          <w:sz w:val="24"/>
          <w:szCs w:val="24"/>
        </w:rPr>
        <w:t xml:space="preserve">Igaunijā </w:t>
      </w:r>
      <w:r w:rsidR="00E53959">
        <w:rPr>
          <w:rFonts w:ascii="Times New Roman" w:hAnsi="Times New Roman" w:cs="Times New Roman"/>
          <w:iCs/>
          <w:sz w:val="24"/>
          <w:szCs w:val="24"/>
        </w:rPr>
        <w:t xml:space="preserve">– </w:t>
      </w:r>
      <w:r w:rsidR="00E53959" w:rsidRPr="005842B1">
        <w:rPr>
          <w:rFonts w:ascii="Times New Roman" w:hAnsi="Times New Roman" w:cs="Times New Roman"/>
          <w:iCs/>
          <w:sz w:val="24"/>
          <w:szCs w:val="24"/>
        </w:rPr>
        <w:t>par 11</w:t>
      </w:r>
      <w:r w:rsidR="00E53959">
        <w:rPr>
          <w:rFonts w:ascii="Times New Roman" w:hAnsi="Times New Roman" w:cs="Times New Roman"/>
          <w:iCs/>
          <w:sz w:val="24"/>
          <w:szCs w:val="24"/>
        </w:rPr>
        <w:t> </w:t>
      </w:r>
      <w:r w:rsidR="00E53959" w:rsidRPr="005842B1">
        <w:rPr>
          <w:rFonts w:ascii="Times New Roman" w:hAnsi="Times New Roman" w:cs="Times New Roman"/>
          <w:iCs/>
          <w:sz w:val="24"/>
          <w:szCs w:val="24"/>
        </w:rPr>
        <w:t>%</w:t>
      </w:r>
      <w:r w:rsidR="00E53959">
        <w:rPr>
          <w:rFonts w:ascii="Times New Roman" w:hAnsi="Times New Roman" w:cs="Times New Roman"/>
          <w:iCs/>
          <w:sz w:val="24"/>
          <w:szCs w:val="24"/>
        </w:rPr>
        <w:t xml:space="preserve"> un kopumā</w:t>
      </w:r>
      <w:r w:rsidR="00E53959" w:rsidRPr="005842B1">
        <w:rPr>
          <w:rFonts w:ascii="Times New Roman" w:hAnsi="Times New Roman" w:cs="Times New Roman"/>
          <w:iCs/>
          <w:sz w:val="24"/>
          <w:szCs w:val="24"/>
        </w:rPr>
        <w:t xml:space="preserve"> </w:t>
      </w:r>
      <w:r w:rsidRPr="005842B1">
        <w:rPr>
          <w:rFonts w:ascii="Times New Roman" w:hAnsi="Times New Roman" w:cs="Times New Roman"/>
          <w:iCs/>
          <w:sz w:val="24"/>
          <w:szCs w:val="24"/>
        </w:rPr>
        <w:t xml:space="preserve">Eiropas Savienības dalībvalstīs </w:t>
      </w:r>
      <w:r w:rsidR="00E53959">
        <w:rPr>
          <w:rFonts w:ascii="Times New Roman" w:hAnsi="Times New Roman" w:cs="Times New Roman"/>
          <w:iCs/>
          <w:sz w:val="24"/>
          <w:szCs w:val="24"/>
        </w:rPr>
        <w:t xml:space="preserve">– </w:t>
      </w:r>
      <w:r w:rsidR="00E53959" w:rsidRPr="005842B1">
        <w:rPr>
          <w:rFonts w:ascii="Times New Roman" w:hAnsi="Times New Roman" w:cs="Times New Roman"/>
          <w:iCs/>
          <w:sz w:val="24"/>
          <w:szCs w:val="24"/>
        </w:rPr>
        <w:t xml:space="preserve">vidēji </w:t>
      </w:r>
      <w:r w:rsidRPr="005842B1">
        <w:rPr>
          <w:rFonts w:ascii="Times New Roman" w:hAnsi="Times New Roman" w:cs="Times New Roman"/>
          <w:iCs/>
          <w:sz w:val="24"/>
          <w:szCs w:val="24"/>
        </w:rPr>
        <w:t>par 24</w:t>
      </w:r>
      <w:r w:rsidR="00EF5E2C">
        <w:rPr>
          <w:rFonts w:ascii="Times New Roman" w:hAnsi="Times New Roman" w:cs="Times New Roman"/>
          <w:iCs/>
          <w:sz w:val="24"/>
          <w:szCs w:val="24"/>
        </w:rPr>
        <w:t> </w:t>
      </w:r>
      <w:r w:rsidRPr="005842B1">
        <w:rPr>
          <w:rFonts w:ascii="Times New Roman" w:hAnsi="Times New Roman" w:cs="Times New Roman"/>
          <w:iCs/>
          <w:sz w:val="24"/>
          <w:szCs w:val="24"/>
        </w:rPr>
        <w:t xml:space="preserve">% </w:t>
      </w:r>
      <w:r w:rsidR="0034052B" w:rsidRPr="005842B1">
        <w:rPr>
          <w:rFonts w:ascii="Times New Roman" w:hAnsi="Times New Roman" w:cs="Times New Roman"/>
          <w:iCs/>
          <w:sz w:val="24"/>
          <w:szCs w:val="24"/>
        </w:rPr>
        <w:t>(1</w:t>
      </w:r>
      <w:r w:rsidR="00BA1565">
        <w:rPr>
          <w:rFonts w:ascii="Times New Roman" w:hAnsi="Times New Roman" w:cs="Times New Roman"/>
          <w:iCs/>
          <w:sz w:val="24"/>
          <w:szCs w:val="24"/>
        </w:rPr>
        <w:t>2</w:t>
      </w:r>
      <w:r w:rsidR="0034052B" w:rsidRPr="005842B1">
        <w:rPr>
          <w:rFonts w:ascii="Times New Roman" w:hAnsi="Times New Roman" w:cs="Times New Roman"/>
          <w:iCs/>
          <w:sz w:val="24"/>
          <w:szCs w:val="24"/>
        </w:rPr>
        <w:t>.</w:t>
      </w:r>
      <w:r w:rsidR="00EF5E2C">
        <w:rPr>
          <w:rFonts w:ascii="Times New Roman" w:hAnsi="Times New Roman" w:cs="Times New Roman"/>
          <w:iCs/>
          <w:sz w:val="24"/>
          <w:szCs w:val="24"/>
        </w:rPr>
        <w:t> </w:t>
      </w:r>
      <w:r w:rsidR="0034052B" w:rsidRPr="005842B1">
        <w:rPr>
          <w:rFonts w:ascii="Times New Roman" w:hAnsi="Times New Roman" w:cs="Times New Roman"/>
          <w:iCs/>
          <w:sz w:val="24"/>
          <w:szCs w:val="24"/>
        </w:rPr>
        <w:t>attēls)</w:t>
      </w:r>
      <w:r w:rsidR="00EA1ECB" w:rsidRPr="005842B1">
        <w:rPr>
          <w:rFonts w:ascii="Times New Roman" w:hAnsi="Times New Roman" w:cs="Times New Roman"/>
          <w:iCs/>
          <w:sz w:val="24"/>
          <w:szCs w:val="24"/>
        </w:rPr>
        <w:t>.</w:t>
      </w:r>
    </w:p>
    <w:p w14:paraId="50BA19FE" w14:textId="1DCF01A3" w:rsidR="00E963C5" w:rsidRDefault="004E0791" w:rsidP="001D5828">
      <w:pPr>
        <w:spacing w:before="120" w:after="120" w:line="240" w:lineRule="auto"/>
        <w:jc w:val="both"/>
        <w:rPr>
          <w:rFonts w:ascii="Times New Roman" w:hAnsi="Times New Roman" w:cs="Times New Roman"/>
          <w:iCs/>
          <w:sz w:val="24"/>
          <w:szCs w:val="24"/>
        </w:rPr>
      </w:pPr>
      <w:r>
        <w:rPr>
          <w:noProof/>
          <w:lang w:eastAsia="lv-LV"/>
        </w:rPr>
        <w:drawing>
          <wp:inline distT="0" distB="0" distL="0" distR="0" wp14:anchorId="297E9093" wp14:editId="3E9609FA">
            <wp:extent cx="5749047" cy="3268494"/>
            <wp:effectExtent l="0" t="0" r="4445" b="8255"/>
            <wp:docPr id="10" name="Chart 10">
              <a:extLst xmlns:a="http://schemas.openxmlformats.org/drawingml/2006/main">
                <a:ext uri="{FF2B5EF4-FFF2-40B4-BE49-F238E27FC236}">
                  <a16:creationId xmlns:a16="http://schemas.microsoft.com/office/drawing/2014/main" id="{3BF960CF-F01C-40C5-B999-8593B24AF9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2F9E24" w14:textId="5393866C" w:rsidR="00E12111" w:rsidRPr="005842B1" w:rsidRDefault="00E12111" w:rsidP="00E12111">
      <w:pPr>
        <w:spacing w:after="0" w:line="240" w:lineRule="auto"/>
        <w:ind w:firstLine="720"/>
        <w:jc w:val="both"/>
        <w:rPr>
          <w:rFonts w:ascii="Times New Roman" w:hAnsi="Times New Roman" w:cs="Times New Roman"/>
          <w:sz w:val="24"/>
          <w:szCs w:val="24"/>
        </w:rPr>
      </w:pPr>
      <w:r w:rsidRPr="00BA1565">
        <w:rPr>
          <w:rFonts w:ascii="Times New Roman" w:hAnsi="Times New Roman" w:cs="Times New Roman"/>
          <w:iCs/>
          <w:sz w:val="24"/>
          <w:szCs w:val="24"/>
        </w:rPr>
        <w:t>1</w:t>
      </w:r>
      <w:r w:rsidR="00BA1565" w:rsidRPr="00BA1565">
        <w:rPr>
          <w:rFonts w:ascii="Times New Roman" w:hAnsi="Times New Roman" w:cs="Times New Roman"/>
          <w:iCs/>
          <w:sz w:val="24"/>
          <w:szCs w:val="24"/>
        </w:rPr>
        <w:t>3</w:t>
      </w:r>
      <w:r w:rsidRPr="00BA1565">
        <w:rPr>
          <w:rFonts w:ascii="Times New Roman" w:hAnsi="Times New Roman" w:cs="Times New Roman"/>
          <w:iCs/>
          <w:sz w:val="24"/>
          <w:szCs w:val="24"/>
        </w:rPr>
        <w:t>. attēls.</w:t>
      </w:r>
      <w:r w:rsidRPr="005842B1">
        <w:rPr>
          <w:rFonts w:ascii="Times New Roman" w:hAnsi="Times New Roman" w:cs="Times New Roman"/>
          <w:iCs/>
          <w:sz w:val="24"/>
          <w:szCs w:val="24"/>
        </w:rPr>
        <w:t xml:space="preserve"> </w:t>
      </w:r>
      <w:r w:rsidRPr="005842B1">
        <w:rPr>
          <w:rFonts w:ascii="Times New Roman" w:hAnsi="Times New Roman" w:cs="Times New Roman"/>
          <w:sz w:val="24"/>
          <w:szCs w:val="24"/>
        </w:rPr>
        <w:t>Kartupeļu</w:t>
      </w:r>
      <w:r w:rsidR="008D7792" w:rsidRPr="005842B1">
        <w:rPr>
          <w:rFonts w:ascii="Times New Roman" w:hAnsi="Times New Roman" w:cs="Times New Roman"/>
          <w:sz w:val="24"/>
          <w:szCs w:val="24"/>
        </w:rPr>
        <w:t xml:space="preserve"> </w:t>
      </w:r>
      <w:r w:rsidRPr="005842B1">
        <w:rPr>
          <w:rFonts w:ascii="Times New Roman" w:hAnsi="Times New Roman" w:cs="Times New Roman"/>
          <w:sz w:val="24"/>
          <w:szCs w:val="24"/>
        </w:rPr>
        <w:t xml:space="preserve">izlaides vērtības </w:t>
      </w:r>
      <w:r w:rsidR="00E53959">
        <w:rPr>
          <w:rFonts w:ascii="Times New Roman" w:hAnsi="Times New Roman" w:cs="Times New Roman"/>
          <w:sz w:val="24"/>
          <w:szCs w:val="24"/>
        </w:rPr>
        <w:t>pār</w:t>
      </w:r>
      <w:r w:rsidRPr="005842B1">
        <w:rPr>
          <w:rFonts w:ascii="Times New Roman" w:hAnsi="Times New Roman" w:cs="Times New Roman"/>
          <w:sz w:val="24"/>
          <w:szCs w:val="24"/>
        </w:rPr>
        <w:t xml:space="preserve">maiņas </w:t>
      </w:r>
      <w:r w:rsidR="00CA1714" w:rsidRPr="005842B1">
        <w:rPr>
          <w:rFonts w:ascii="Times New Roman" w:hAnsi="Times New Roman" w:cs="Times New Roman"/>
          <w:sz w:val="24"/>
          <w:szCs w:val="24"/>
        </w:rPr>
        <w:t>Latvijā salīdzinājumā ar citām Eiropas Savienības dalībvalstīm, 2022.</w:t>
      </w:r>
      <w:r w:rsidR="00EF5E2C">
        <w:rPr>
          <w:rFonts w:ascii="Times New Roman" w:hAnsi="Times New Roman" w:cs="Times New Roman"/>
          <w:sz w:val="24"/>
          <w:szCs w:val="24"/>
        </w:rPr>
        <w:t xml:space="preserve"> </w:t>
      </w:r>
      <w:r w:rsidR="00CA1714" w:rsidRPr="005842B1">
        <w:rPr>
          <w:rFonts w:ascii="Times New Roman" w:hAnsi="Times New Roman" w:cs="Times New Roman"/>
          <w:sz w:val="24"/>
          <w:szCs w:val="24"/>
        </w:rPr>
        <w:t>gad</w:t>
      </w:r>
      <w:r w:rsidR="00E53959">
        <w:rPr>
          <w:rFonts w:ascii="Times New Roman" w:hAnsi="Times New Roman" w:cs="Times New Roman"/>
          <w:sz w:val="24"/>
          <w:szCs w:val="24"/>
        </w:rPr>
        <w:t>u</w:t>
      </w:r>
      <w:r w:rsidR="00CA1714" w:rsidRPr="005842B1">
        <w:rPr>
          <w:rFonts w:ascii="Times New Roman" w:hAnsi="Times New Roman" w:cs="Times New Roman"/>
          <w:sz w:val="24"/>
          <w:szCs w:val="24"/>
        </w:rPr>
        <w:t xml:space="preserve"> salīdzin</w:t>
      </w:r>
      <w:r w:rsidR="00E53959">
        <w:rPr>
          <w:rFonts w:ascii="Times New Roman" w:hAnsi="Times New Roman" w:cs="Times New Roman"/>
          <w:sz w:val="24"/>
          <w:szCs w:val="24"/>
        </w:rPr>
        <w:t>ot</w:t>
      </w:r>
      <w:r w:rsidR="00CA1714" w:rsidRPr="005842B1">
        <w:rPr>
          <w:rFonts w:ascii="Times New Roman" w:hAnsi="Times New Roman" w:cs="Times New Roman"/>
          <w:sz w:val="24"/>
          <w:szCs w:val="24"/>
        </w:rPr>
        <w:t xml:space="preserve"> ar 2017.</w:t>
      </w:r>
      <w:r w:rsidR="00EF5E2C">
        <w:rPr>
          <w:rFonts w:ascii="Times New Roman" w:hAnsi="Times New Roman" w:cs="Times New Roman"/>
          <w:sz w:val="24"/>
          <w:szCs w:val="24"/>
        </w:rPr>
        <w:t xml:space="preserve"> </w:t>
      </w:r>
      <w:r w:rsidR="00CA1714" w:rsidRPr="005842B1">
        <w:rPr>
          <w:rFonts w:ascii="Times New Roman" w:hAnsi="Times New Roman" w:cs="Times New Roman"/>
          <w:sz w:val="24"/>
          <w:szCs w:val="24"/>
        </w:rPr>
        <w:t>gadu, procentos</w:t>
      </w:r>
    </w:p>
    <w:p w14:paraId="08D29509" w14:textId="77777777" w:rsidR="00E12111" w:rsidRPr="005842B1" w:rsidRDefault="00E12111" w:rsidP="00E12111">
      <w:pPr>
        <w:spacing w:line="240" w:lineRule="auto"/>
        <w:ind w:right="-19" w:firstLine="720"/>
        <w:jc w:val="both"/>
        <w:rPr>
          <w:rFonts w:ascii="Times New Roman" w:hAnsi="Times New Roman" w:cs="Times New Roman"/>
          <w:sz w:val="20"/>
          <w:szCs w:val="20"/>
        </w:rPr>
      </w:pPr>
      <w:r w:rsidRPr="005842B1">
        <w:rPr>
          <w:rFonts w:ascii="Times New Roman" w:hAnsi="Times New Roman" w:cs="Times New Roman"/>
          <w:i/>
          <w:sz w:val="20"/>
          <w:szCs w:val="20"/>
        </w:rPr>
        <w:t xml:space="preserve">Avots: </w:t>
      </w:r>
      <w:r w:rsidRPr="005842B1">
        <w:rPr>
          <w:rFonts w:ascii="Times New Roman" w:hAnsi="Times New Roman" w:cs="Times New Roman"/>
          <w:sz w:val="20"/>
          <w:szCs w:val="20"/>
        </w:rPr>
        <w:t xml:space="preserve">ZM pēc </w:t>
      </w:r>
      <w:r w:rsidRPr="005842B1">
        <w:rPr>
          <w:rFonts w:ascii="Times New Roman" w:hAnsi="Times New Roman" w:cs="Times New Roman"/>
          <w:i/>
          <w:sz w:val="20"/>
          <w:szCs w:val="20"/>
        </w:rPr>
        <w:t>Eurostat</w:t>
      </w:r>
      <w:r w:rsidRPr="005842B1">
        <w:rPr>
          <w:rFonts w:ascii="Times New Roman" w:hAnsi="Times New Roman" w:cs="Times New Roman"/>
          <w:sz w:val="20"/>
          <w:szCs w:val="20"/>
        </w:rPr>
        <w:t xml:space="preserve"> un </w:t>
      </w:r>
      <w:proofErr w:type="spellStart"/>
      <w:r w:rsidRPr="005842B1">
        <w:rPr>
          <w:rFonts w:ascii="Times New Roman" w:hAnsi="Times New Roman" w:cs="Times New Roman"/>
          <w:sz w:val="20"/>
          <w:szCs w:val="20"/>
        </w:rPr>
        <w:t>Agroresursu</w:t>
      </w:r>
      <w:proofErr w:type="spellEnd"/>
      <w:r w:rsidRPr="005842B1">
        <w:rPr>
          <w:rFonts w:ascii="Times New Roman" w:hAnsi="Times New Roman" w:cs="Times New Roman"/>
          <w:sz w:val="20"/>
          <w:szCs w:val="20"/>
        </w:rPr>
        <w:t xml:space="preserve"> un ekonomikas institūta datiem</w:t>
      </w:r>
    </w:p>
    <w:p w14:paraId="6F7079DA" w14:textId="5DAA4617" w:rsidR="00AB0549" w:rsidRPr="00C53CD8" w:rsidRDefault="00E53959" w:rsidP="00C53CD8">
      <w:pPr>
        <w:spacing w:after="12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Pēc kartupeļu izlaides vērtības pār</w:t>
      </w:r>
      <w:r w:rsidRPr="005842B1">
        <w:rPr>
          <w:rFonts w:ascii="Times New Roman" w:hAnsi="Times New Roman" w:cs="Times New Roman"/>
          <w:iCs/>
          <w:sz w:val="24"/>
          <w:szCs w:val="24"/>
        </w:rPr>
        <w:t>maiņu rādīt</w:t>
      </w:r>
      <w:r>
        <w:rPr>
          <w:rFonts w:ascii="Times New Roman" w:hAnsi="Times New Roman" w:cs="Times New Roman"/>
          <w:iCs/>
          <w:sz w:val="24"/>
          <w:szCs w:val="24"/>
        </w:rPr>
        <w:t>ājiem</w:t>
      </w:r>
      <w:r w:rsidRPr="005842B1">
        <w:rPr>
          <w:rFonts w:ascii="Times New Roman" w:hAnsi="Times New Roman" w:cs="Times New Roman"/>
          <w:iCs/>
          <w:sz w:val="24"/>
          <w:szCs w:val="24"/>
        </w:rPr>
        <w:t xml:space="preserve"> </w:t>
      </w:r>
      <w:r w:rsidR="00504D0B" w:rsidRPr="005842B1">
        <w:rPr>
          <w:rFonts w:ascii="Times New Roman" w:hAnsi="Times New Roman" w:cs="Times New Roman"/>
          <w:iCs/>
          <w:sz w:val="24"/>
          <w:szCs w:val="24"/>
        </w:rPr>
        <w:t>Latvija</w:t>
      </w:r>
      <w:r w:rsidR="00EE0A53" w:rsidRPr="005842B1">
        <w:rPr>
          <w:rFonts w:ascii="Times New Roman" w:hAnsi="Times New Roman" w:cs="Times New Roman"/>
          <w:iCs/>
          <w:sz w:val="24"/>
          <w:szCs w:val="24"/>
        </w:rPr>
        <w:t xml:space="preserve"> </w:t>
      </w:r>
      <w:r w:rsidRPr="005842B1">
        <w:rPr>
          <w:rFonts w:ascii="Times New Roman" w:hAnsi="Times New Roman" w:cs="Times New Roman"/>
          <w:iCs/>
          <w:sz w:val="24"/>
          <w:szCs w:val="24"/>
        </w:rPr>
        <w:t xml:space="preserve">starp citām Eiropas Savienības dalībvalstīm </w:t>
      </w:r>
      <w:r w:rsidR="00EE0A53" w:rsidRPr="005842B1">
        <w:rPr>
          <w:rFonts w:ascii="Times New Roman" w:hAnsi="Times New Roman" w:cs="Times New Roman"/>
          <w:iCs/>
          <w:sz w:val="24"/>
          <w:szCs w:val="24"/>
        </w:rPr>
        <w:t>ierindojas sestajā vietā</w:t>
      </w:r>
      <w:r w:rsidR="005D5910" w:rsidRPr="005842B1">
        <w:rPr>
          <w:rFonts w:ascii="Times New Roman" w:hAnsi="Times New Roman" w:cs="Times New Roman"/>
          <w:iCs/>
          <w:sz w:val="24"/>
          <w:szCs w:val="24"/>
        </w:rPr>
        <w:t>,</w:t>
      </w:r>
      <w:r w:rsidR="00D56435" w:rsidRPr="005842B1">
        <w:rPr>
          <w:rFonts w:ascii="Times New Roman" w:hAnsi="Times New Roman" w:cs="Times New Roman"/>
          <w:iCs/>
          <w:sz w:val="24"/>
          <w:szCs w:val="24"/>
        </w:rPr>
        <w:t xml:space="preserve"> </w:t>
      </w:r>
      <w:r>
        <w:rPr>
          <w:rFonts w:ascii="Times New Roman" w:hAnsi="Times New Roman" w:cs="Times New Roman"/>
          <w:iCs/>
          <w:sz w:val="24"/>
          <w:szCs w:val="24"/>
        </w:rPr>
        <w:t xml:space="preserve">ja </w:t>
      </w:r>
      <w:r w:rsidR="00D56435" w:rsidRPr="005842B1">
        <w:rPr>
          <w:rFonts w:ascii="Times New Roman" w:hAnsi="Times New Roman" w:cs="Times New Roman"/>
          <w:iCs/>
          <w:sz w:val="24"/>
          <w:szCs w:val="24"/>
        </w:rPr>
        <w:t>salīdzin</w:t>
      </w:r>
      <w:r>
        <w:rPr>
          <w:rFonts w:ascii="Times New Roman" w:hAnsi="Times New Roman" w:cs="Times New Roman"/>
          <w:iCs/>
          <w:sz w:val="24"/>
          <w:szCs w:val="24"/>
        </w:rPr>
        <w:t>a</w:t>
      </w:r>
      <w:r w:rsidR="00D56435" w:rsidRPr="005842B1">
        <w:rPr>
          <w:rFonts w:ascii="Times New Roman" w:hAnsi="Times New Roman" w:cs="Times New Roman"/>
          <w:iCs/>
          <w:sz w:val="24"/>
          <w:szCs w:val="24"/>
        </w:rPr>
        <w:t xml:space="preserve"> 2022.</w:t>
      </w:r>
      <w:r>
        <w:rPr>
          <w:rFonts w:ascii="Times New Roman" w:hAnsi="Times New Roman" w:cs="Times New Roman"/>
          <w:iCs/>
          <w:sz w:val="24"/>
          <w:szCs w:val="24"/>
        </w:rPr>
        <w:t xml:space="preserve"> un</w:t>
      </w:r>
      <w:r w:rsidR="00D56435" w:rsidRPr="005842B1">
        <w:rPr>
          <w:rFonts w:ascii="Times New Roman" w:hAnsi="Times New Roman" w:cs="Times New Roman"/>
          <w:iCs/>
          <w:sz w:val="24"/>
          <w:szCs w:val="24"/>
        </w:rPr>
        <w:t xml:space="preserve"> 2017.</w:t>
      </w:r>
      <w:r>
        <w:rPr>
          <w:rFonts w:ascii="Times New Roman" w:hAnsi="Times New Roman" w:cs="Times New Roman"/>
          <w:iCs/>
          <w:sz w:val="24"/>
          <w:szCs w:val="24"/>
        </w:rPr>
        <w:t xml:space="preserve"> </w:t>
      </w:r>
      <w:r w:rsidR="00D56435" w:rsidRPr="005842B1">
        <w:rPr>
          <w:rFonts w:ascii="Times New Roman" w:hAnsi="Times New Roman" w:cs="Times New Roman"/>
          <w:iCs/>
          <w:sz w:val="24"/>
          <w:szCs w:val="24"/>
        </w:rPr>
        <w:t>gad</w:t>
      </w:r>
      <w:r>
        <w:rPr>
          <w:rFonts w:ascii="Times New Roman" w:hAnsi="Times New Roman" w:cs="Times New Roman"/>
          <w:iCs/>
          <w:sz w:val="24"/>
          <w:szCs w:val="24"/>
        </w:rPr>
        <w:t>a radītājus:</w:t>
      </w:r>
      <w:r w:rsidR="0032486C" w:rsidRPr="005842B1">
        <w:rPr>
          <w:rFonts w:ascii="Times New Roman" w:hAnsi="Times New Roman" w:cs="Times New Roman"/>
          <w:iCs/>
          <w:sz w:val="24"/>
          <w:szCs w:val="24"/>
        </w:rPr>
        <w:t xml:space="preserve"> </w:t>
      </w:r>
      <w:r w:rsidRPr="005842B1">
        <w:rPr>
          <w:rFonts w:ascii="Times New Roman" w:hAnsi="Times New Roman" w:cs="Times New Roman"/>
          <w:iCs/>
          <w:sz w:val="24"/>
          <w:szCs w:val="24"/>
        </w:rPr>
        <w:lastRenderedPageBreak/>
        <w:t xml:space="preserve">2022. gadā </w:t>
      </w:r>
      <w:r w:rsidR="00E6776A" w:rsidRPr="005842B1">
        <w:rPr>
          <w:rFonts w:ascii="Times New Roman" w:hAnsi="Times New Roman" w:cs="Times New Roman"/>
          <w:iCs/>
          <w:sz w:val="24"/>
          <w:szCs w:val="24"/>
        </w:rPr>
        <w:t xml:space="preserve">Latvijā kartupeļu izlaides vērtība </w:t>
      </w:r>
      <w:r w:rsidR="00921734" w:rsidRPr="005842B1">
        <w:rPr>
          <w:rFonts w:ascii="Times New Roman" w:hAnsi="Times New Roman" w:cs="Times New Roman"/>
          <w:iCs/>
          <w:sz w:val="24"/>
          <w:szCs w:val="24"/>
        </w:rPr>
        <w:t xml:space="preserve">ir </w:t>
      </w:r>
      <w:r w:rsidRPr="005842B1">
        <w:rPr>
          <w:rFonts w:ascii="Times New Roman" w:hAnsi="Times New Roman" w:cs="Times New Roman"/>
          <w:iCs/>
          <w:sz w:val="24"/>
          <w:szCs w:val="24"/>
        </w:rPr>
        <w:t>p</w:t>
      </w:r>
      <w:r>
        <w:rPr>
          <w:rFonts w:ascii="Times New Roman" w:hAnsi="Times New Roman" w:cs="Times New Roman"/>
          <w:iCs/>
          <w:sz w:val="24"/>
          <w:szCs w:val="24"/>
        </w:rPr>
        <w:t>alielinājusies</w:t>
      </w:r>
      <w:r w:rsidRPr="005842B1">
        <w:rPr>
          <w:rFonts w:ascii="Times New Roman" w:hAnsi="Times New Roman" w:cs="Times New Roman"/>
          <w:iCs/>
          <w:sz w:val="24"/>
          <w:szCs w:val="24"/>
        </w:rPr>
        <w:t xml:space="preserve"> </w:t>
      </w:r>
      <w:r w:rsidR="00921734" w:rsidRPr="005842B1">
        <w:rPr>
          <w:rFonts w:ascii="Times New Roman" w:hAnsi="Times New Roman" w:cs="Times New Roman"/>
          <w:iCs/>
          <w:sz w:val="24"/>
          <w:szCs w:val="24"/>
        </w:rPr>
        <w:t>par 57 %</w:t>
      </w:r>
      <w:r w:rsidR="002920F9">
        <w:rPr>
          <w:rFonts w:ascii="Times New Roman" w:hAnsi="Times New Roman" w:cs="Times New Roman"/>
          <w:iCs/>
          <w:sz w:val="24"/>
          <w:szCs w:val="24"/>
        </w:rPr>
        <w:t>,</w:t>
      </w:r>
      <w:r w:rsidR="00921734" w:rsidRPr="005842B1">
        <w:rPr>
          <w:rFonts w:ascii="Times New Roman" w:hAnsi="Times New Roman" w:cs="Times New Roman"/>
          <w:iCs/>
          <w:sz w:val="24"/>
          <w:szCs w:val="24"/>
        </w:rPr>
        <w:t xml:space="preserve"> </w:t>
      </w:r>
      <w:r w:rsidR="00AD7FB1" w:rsidRPr="005842B1">
        <w:rPr>
          <w:rFonts w:ascii="Times New Roman" w:hAnsi="Times New Roman" w:cs="Times New Roman"/>
          <w:iCs/>
          <w:sz w:val="24"/>
          <w:szCs w:val="24"/>
        </w:rPr>
        <w:t xml:space="preserve">Igaunijā </w:t>
      </w:r>
      <w:r w:rsidR="002920F9">
        <w:rPr>
          <w:rFonts w:ascii="Times New Roman" w:hAnsi="Times New Roman" w:cs="Times New Roman"/>
          <w:iCs/>
          <w:sz w:val="24"/>
          <w:szCs w:val="24"/>
        </w:rPr>
        <w:t xml:space="preserve">– </w:t>
      </w:r>
      <w:r w:rsidR="00770E2A" w:rsidRPr="005842B1">
        <w:rPr>
          <w:rFonts w:ascii="Times New Roman" w:hAnsi="Times New Roman" w:cs="Times New Roman"/>
          <w:iCs/>
          <w:sz w:val="24"/>
          <w:szCs w:val="24"/>
        </w:rPr>
        <w:t>par 235</w:t>
      </w:r>
      <w:r w:rsidR="00EF5E2C">
        <w:rPr>
          <w:rFonts w:ascii="Times New Roman" w:hAnsi="Times New Roman" w:cs="Times New Roman"/>
          <w:iCs/>
          <w:sz w:val="24"/>
          <w:szCs w:val="24"/>
        </w:rPr>
        <w:t xml:space="preserve"> </w:t>
      </w:r>
      <w:r w:rsidR="00770E2A" w:rsidRPr="005842B1">
        <w:rPr>
          <w:rFonts w:ascii="Times New Roman" w:hAnsi="Times New Roman" w:cs="Times New Roman"/>
          <w:iCs/>
          <w:sz w:val="24"/>
          <w:szCs w:val="24"/>
        </w:rPr>
        <w:t>%</w:t>
      </w:r>
      <w:r w:rsidR="00225C04" w:rsidRPr="005842B1">
        <w:rPr>
          <w:rFonts w:ascii="Times New Roman" w:hAnsi="Times New Roman" w:cs="Times New Roman"/>
          <w:iCs/>
          <w:sz w:val="24"/>
          <w:szCs w:val="24"/>
        </w:rPr>
        <w:t xml:space="preserve">, Lietuvā </w:t>
      </w:r>
      <w:r w:rsidR="002920F9">
        <w:rPr>
          <w:rFonts w:ascii="Times New Roman" w:hAnsi="Times New Roman" w:cs="Times New Roman"/>
          <w:iCs/>
          <w:sz w:val="24"/>
          <w:szCs w:val="24"/>
        </w:rPr>
        <w:t xml:space="preserve">– </w:t>
      </w:r>
      <w:r w:rsidR="00225C04" w:rsidRPr="005842B1">
        <w:rPr>
          <w:rFonts w:ascii="Times New Roman" w:hAnsi="Times New Roman" w:cs="Times New Roman"/>
          <w:iCs/>
          <w:sz w:val="24"/>
          <w:szCs w:val="24"/>
        </w:rPr>
        <w:t>par 107 %</w:t>
      </w:r>
      <w:r w:rsidR="002920F9">
        <w:rPr>
          <w:rFonts w:ascii="Times New Roman" w:hAnsi="Times New Roman" w:cs="Times New Roman"/>
          <w:iCs/>
          <w:sz w:val="24"/>
          <w:szCs w:val="24"/>
        </w:rPr>
        <w:t xml:space="preserve"> un kopumā</w:t>
      </w:r>
      <w:r w:rsidR="008D53B9" w:rsidRPr="005842B1">
        <w:rPr>
          <w:rFonts w:ascii="Times New Roman" w:hAnsi="Times New Roman" w:cs="Times New Roman"/>
          <w:iCs/>
          <w:sz w:val="24"/>
          <w:szCs w:val="24"/>
        </w:rPr>
        <w:t xml:space="preserve"> </w:t>
      </w:r>
      <w:r w:rsidR="008D7792" w:rsidRPr="005842B1">
        <w:rPr>
          <w:rFonts w:ascii="Times New Roman" w:hAnsi="Times New Roman" w:cs="Times New Roman"/>
          <w:iCs/>
          <w:sz w:val="24"/>
          <w:szCs w:val="24"/>
        </w:rPr>
        <w:t xml:space="preserve">Eiropas Savienības dalībvalstīs </w:t>
      </w:r>
      <w:r w:rsidR="002920F9">
        <w:rPr>
          <w:rFonts w:ascii="Times New Roman" w:hAnsi="Times New Roman" w:cs="Times New Roman"/>
          <w:iCs/>
          <w:sz w:val="24"/>
          <w:szCs w:val="24"/>
        </w:rPr>
        <w:t xml:space="preserve">– </w:t>
      </w:r>
      <w:r w:rsidR="002920F9" w:rsidRPr="005842B1">
        <w:rPr>
          <w:rFonts w:ascii="Times New Roman" w:hAnsi="Times New Roman" w:cs="Times New Roman"/>
          <w:iCs/>
          <w:sz w:val="24"/>
          <w:szCs w:val="24"/>
        </w:rPr>
        <w:t xml:space="preserve">vidēji </w:t>
      </w:r>
      <w:r w:rsidR="008D7792" w:rsidRPr="005842B1">
        <w:rPr>
          <w:rFonts w:ascii="Times New Roman" w:hAnsi="Times New Roman" w:cs="Times New Roman"/>
          <w:iCs/>
          <w:sz w:val="24"/>
          <w:szCs w:val="24"/>
        </w:rPr>
        <w:t xml:space="preserve">par </w:t>
      </w:r>
      <w:r w:rsidR="008D53B9" w:rsidRPr="005842B1">
        <w:rPr>
          <w:rFonts w:ascii="Times New Roman" w:hAnsi="Times New Roman" w:cs="Times New Roman"/>
          <w:iCs/>
          <w:sz w:val="24"/>
          <w:szCs w:val="24"/>
        </w:rPr>
        <w:t>48</w:t>
      </w:r>
      <w:r w:rsidR="00EF5E2C">
        <w:rPr>
          <w:rFonts w:ascii="Times New Roman" w:hAnsi="Times New Roman" w:cs="Times New Roman"/>
          <w:iCs/>
          <w:sz w:val="24"/>
          <w:szCs w:val="24"/>
        </w:rPr>
        <w:t> </w:t>
      </w:r>
      <w:r w:rsidR="008D7792" w:rsidRPr="005842B1">
        <w:rPr>
          <w:rFonts w:ascii="Times New Roman" w:hAnsi="Times New Roman" w:cs="Times New Roman"/>
          <w:iCs/>
          <w:sz w:val="24"/>
          <w:szCs w:val="24"/>
        </w:rPr>
        <w:t>%</w:t>
      </w:r>
      <w:r w:rsidR="008D53B9" w:rsidRPr="005842B1">
        <w:rPr>
          <w:rFonts w:ascii="Times New Roman" w:hAnsi="Times New Roman" w:cs="Times New Roman"/>
          <w:iCs/>
          <w:sz w:val="24"/>
          <w:szCs w:val="24"/>
        </w:rPr>
        <w:t xml:space="preserve"> </w:t>
      </w:r>
      <w:r w:rsidR="008D7792" w:rsidRPr="005842B1">
        <w:rPr>
          <w:rFonts w:ascii="Times New Roman" w:hAnsi="Times New Roman" w:cs="Times New Roman"/>
          <w:iCs/>
          <w:sz w:val="24"/>
          <w:szCs w:val="24"/>
        </w:rPr>
        <w:t>(1</w:t>
      </w:r>
      <w:r w:rsidR="00407835">
        <w:rPr>
          <w:rFonts w:ascii="Times New Roman" w:hAnsi="Times New Roman" w:cs="Times New Roman"/>
          <w:iCs/>
          <w:sz w:val="24"/>
          <w:szCs w:val="24"/>
        </w:rPr>
        <w:t>3</w:t>
      </w:r>
      <w:r w:rsidR="008D7792" w:rsidRPr="005842B1">
        <w:rPr>
          <w:rFonts w:ascii="Times New Roman" w:hAnsi="Times New Roman" w:cs="Times New Roman"/>
          <w:iCs/>
          <w:sz w:val="24"/>
          <w:szCs w:val="24"/>
        </w:rPr>
        <w:t>.</w:t>
      </w:r>
      <w:r w:rsidR="00EF5E2C">
        <w:rPr>
          <w:rFonts w:ascii="Times New Roman" w:hAnsi="Times New Roman" w:cs="Times New Roman"/>
          <w:iCs/>
          <w:sz w:val="24"/>
          <w:szCs w:val="24"/>
        </w:rPr>
        <w:t xml:space="preserve"> </w:t>
      </w:r>
      <w:r w:rsidR="008D7792" w:rsidRPr="005842B1">
        <w:rPr>
          <w:rFonts w:ascii="Times New Roman" w:hAnsi="Times New Roman" w:cs="Times New Roman"/>
          <w:iCs/>
          <w:sz w:val="24"/>
          <w:szCs w:val="24"/>
        </w:rPr>
        <w:t>attēls)</w:t>
      </w:r>
    </w:p>
    <w:p w14:paraId="585060A3" w14:textId="656F5404" w:rsidR="00DE0F41" w:rsidRPr="006E0CAC" w:rsidRDefault="00EF5E2C" w:rsidP="00DE0F41">
      <w:pPr>
        <w:tabs>
          <w:tab w:val="left" w:pos="1418"/>
        </w:tabs>
        <w:spacing w:after="120" w:line="240" w:lineRule="auto"/>
        <w:ind w:firstLine="720"/>
        <w:jc w:val="both"/>
        <w:rPr>
          <w:rFonts w:ascii="Times New Roman" w:eastAsia="Times New Roman" w:hAnsi="Times New Roman" w:cs="Times New Roman"/>
          <w:b/>
          <w:sz w:val="24"/>
          <w:szCs w:val="24"/>
          <w:u w:val="single"/>
        </w:rPr>
      </w:pPr>
      <w:r>
        <w:rPr>
          <w:rFonts w:ascii="Times New Roman" w:hAnsi="Times New Roman" w:cs="Times New Roman"/>
          <w:sz w:val="24"/>
          <w:szCs w:val="24"/>
          <w:u w:val="single"/>
        </w:rPr>
        <w:t>S</w:t>
      </w:r>
      <w:r w:rsidRPr="006D7E91">
        <w:rPr>
          <w:rFonts w:ascii="Times New Roman" w:hAnsi="Times New Roman" w:cs="Times New Roman"/>
          <w:sz w:val="24"/>
          <w:szCs w:val="24"/>
          <w:u w:val="single"/>
        </w:rPr>
        <w:t>amazinātās 5</w:t>
      </w:r>
      <w:r>
        <w:rPr>
          <w:rFonts w:ascii="Times New Roman" w:hAnsi="Times New Roman" w:cs="Times New Roman"/>
          <w:sz w:val="24"/>
          <w:szCs w:val="24"/>
          <w:u w:val="single"/>
        </w:rPr>
        <w:t> </w:t>
      </w:r>
      <w:r w:rsidRPr="006D7E91">
        <w:rPr>
          <w:rFonts w:ascii="Times New Roman" w:hAnsi="Times New Roman" w:cs="Times New Roman"/>
          <w:sz w:val="24"/>
          <w:szCs w:val="24"/>
          <w:u w:val="single"/>
        </w:rPr>
        <w:t xml:space="preserve">% </w:t>
      </w:r>
      <w:r w:rsidR="00DE0F41" w:rsidRPr="006D7E91">
        <w:rPr>
          <w:rFonts w:ascii="Times New Roman" w:hAnsi="Times New Roman" w:cs="Times New Roman"/>
          <w:sz w:val="24"/>
          <w:szCs w:val="24"/>
          <w:u w:val="single"/>
        </w:rPr>
        <w:t>PVN likmes ieviešanas ietekme uz valsts budžetu.</w:t>
      </w:r>
    </w:p>
    <w:p w14:paraId="0319E61D" w14:textId="1CF1CB0E" w:rsidR="0029205B" w:rsidRDefault="00DE0F41" w:rsidP="000504F5">
      <w:pPr>
        <w:tabs>
          <w:tab w:val="left" w:pos="1134"/>
        </w:tabs>
        <w:spacing w:after="0" w:line="240" w:lineRule="auto"/>
        <w:ind w:firstLine="709"/>
        <w:jc w:val="both"/>
        <w:rPr>
          <w:rFonts w:ascii="Times New Roman" w:hAnsi="Times New Roman" w:cs="Times New Roman"/>
          <w:sz w:val="24"/>
          <w:szCs w:val="24"/>
        </w:rPr>
      </w:pPr>
      <w:r w:rsidRPr="005E7203">
        <w:rPr>
          <w:rFonts w:ascii="Times New Roman" w:eastAsia="Times New Roman" w:hAnsi="Times New Roman" w:cs="Times New Roman"/>
          <w:sz w:val="24"/>
          <w:szCs w:val="24"/>
        </w:rPr>
        <w:t>2017. gada informatīvajā ziņojumā norādīts, ka,</w:t>
      </w:r>
      <w:r w:rsidRPr="005E7203">
        <w:rPr>
          <w:rFonts w:ascii="Times New Roman" w:eastAsia="Times New Roman" w:hAnsi="Times New Roman" w:cs="Times New Roman"/>
          <w:b/>
          <w:sz w:val="24"/>
          <w:szCs w:val="24"/>
        </w:rPr>
        <w:t xml:space="preserve"> </w:t>
      </w:r>
      <w:r w:rsidRPr="005E7203">
        <w:rPr>
          <w:rFonts w:ascii="Times New Roman" w:eastAsia="Times New Roman" w:hAnsi="Times New Roman" w:cs="Times New Roman"/>
          <w:sz w:val="24"/>
          <w:szCs w:val="24"/>
        </w:rPr>
        <w:t xml:space="preserve">pēc LLU pētnieku aprēķiniem, valsts budžeta zaudējumi līdz ar samazinātās 5 % </w:t>
      </w:r>
      <w:r w:rsidR="005A7D99" w:rsidRPr="005E7203">
        <w:rPr>
          <w:rFonts w:ascii="Times New Roman" w:eastAsia="Times New Roman" w:hAnsi="Times New Roman" w:cs="Times New Roman"/>
          <w:sz w:val="24"/>
          <w:szCs w:val="24"/>
        </w:rPr>
        <w:t xml:space="preserve">PVN </w:t>
      </w:r>
      <w:r w:rsidRPr="005E7203">
        <w:rPr>
          <w:rFonts w:ascii="Times New Roman" w:eastAsia="Times New Roman" w:hAnsi="Times New Roman" w:cs="Times New Roman"/>
          <w:sz w:val="24"/>
          <w:szCs w:val="24"/>
        </w:rPr>
        <w:t>likmes ieviešanu prognozējami robežās no 3,9 līdz 5,7 milj. </w:t>
      </w:r>
      <w:proofErr w:type="spellStart"/>
      <w:r w:rsidRPr="005E7203">
        <w:rPr>
          <w:rFonts w:ascii="Times New Roman" w:eastAsia="Times New Roman" w:hAnsi="Times New Roman" w:cs="Times New Roman"/>
          <w:i/>
          <w:sz w:val="24"/>
          <w:szCs w:val="24"/>
        </w:rPr>
        <w:t>euro</w:t>
      </w:r>
      <w:proofErr w:type="spellEnd"/>
      <w:r w:rsidRPr="005E7203">
        <w:rPr>
          <w:rFonts w:ascii="Times New Roman" w:eastAsia="Times New Roman" w:hAnsi="Times New Roman" w:cs="Times New Roman"/>
          <w:sz w:val="24"/>
          <w:szCs w:val="24"/>
        </w:rPr>
        <w:t>. Savukārt likumprojekta “Grozījumi Pievienotās vērtības nodokļa likumā” anotācijā</w:t>
      </w:r>
      <w:r w:rsidRPr="005E7203">
        <w:rPr>
          <w:rStyle w:val="FootnoteReference"/>
          <w:rFonts w:ascii="Times New Roman" w:eastAsia="Times New Roman" w:hAnsi="Times New Roman" w:cs="Times New Roman"/>
          <w:sz w:val="24"/>
          <w:szCs w:val="24"/>
        </w:rPr>
        <w:footnoteReference w:id="14"/>
      </w:r>
      <w:r w:rsidRPr="005E7203">
        <w:rPr>
          <w:rFonts w:ascii="Times New Roman" w:eastAsia="Times New Roman" w:hAnsi="Times New Roman" w:cs="Times New Roman"/>
          <w:sz w:val="24"/>
          <w:szCs w:val="24"/>
        </w:rPr>
        <w:t xml:space="preserve"> plānots, ka </w:t>
      </w:r>
      <w:r w:rsidRPr="005E7203">
        <w:rPr>
          <w:rFonts w:ascii="Times New Roman" w:hAnsi="Times New Roman" w:cs="Times New Roman"/>
          <w:sz w:val="24"/>
          <w:szCs w:val="24"/>
        </w:rPr>
        <w:t>2018.</w:t>
      </w:r>
      <w:r w:rsidR="006D7E91" w:rsidRPr="005E7203">
        <w:rPr>
          <w:rFonts w:ascii="Times New Roman" w:hAnsi="Times New Roman" w:cs="Times New Roman"/>
          <w:sz w:val="24"/>
          <w:szCs w:val="24"/>
        </w:rPr>
        <w:t> </w:t>
      </w:r>
      <w:r w:rsidRPr="005E7203">
        <w:rPr>
          <w:rFonts w:ascii="Times New Roman" w:hAnsi="Times New Roman" w:cs="Times New Roman"/>
          <w:sz w:val="24"/>
          <w:szCs w:val="24"/>
        </w:rPr>
        <w:t xml:space="preserve">gadā un turpmāk fiskālā ietekme no samazinātās </w:t>
      </w:r>
      <w:r w:rsidR="005A7D99" w:rsidRPr="005E7203">
        <w:rPr>
          <w:rFonts w:ascii="Times New Roman" w:hAnsi="Times New Roman" w:cs="Times New Roman"/>
          <w:sz w:val="24"/>
          <w:szCs w:val="24"/>
        </w:rPr>
        <w:t xml:space="preserve">PVN </w:t>
      </w:r>
      <w:r w:rsidRPr="005E7203">
        <w:rPr>
          <w:rFonts w:ascii="Times New Roman" w:hAnsi="Times New Roman" w:cs="Times New Roman"/>
          <w:sz w:val="24"/>
          <w:szCs w:val="24"/>
        </w:rPr>
        <w:t>likmes 5</w:t>
      </w:r>
      <w:r w:rsidR="006D7E91" w:rsidRPr="005E7203">
        <w:rPr>
          <w:rFonts w:ascii="Times New Roman" w:hAnsi="Times New Roman" w:cs="Times New Roman"/>
          <w:sz w:val="24"/>
          <w:szCs w:val="24"/>
        </w:rPr>
        <w:t> </w:t>
      </w:r>
      <w:r w:rsidRPr="005E7203">
        <w:rPr>
          <w:rFonts w:ascii="Times New Roman" w:hAnsi="Times New Roman" w:cs="Times New Roman"/>
          <w:sz w:val="24"/>
          <w:szCs w:val="24"/>
        </w:rPr>
        <w:t xml:space="preserve">% apmērā ieviešanas </w:t>
      </w:r>
      <w:r w:rsidR="006D7E91" w:rsidRPr="005E7203">
        <w:rPr>
          <w:rFonts w:ascii="Times New Roman" w:hAnsi="Times New Roman" w:cs="Times New Roman"/>
          <w:sz w:val="24"/>
          <w:szCs w:val="24"/>
        </w:rPr>
        <w:t>svaigiem</w:t>
      </w:r>
      <w:r w:rsidRPr="005E7203">
        <w:rPr>
          <w:rFonts w:ascii="Times New Roman" w:hAnsi="Times New Roman" w:cs="Times New Roman"/>
          <w:sz w:val="24"/>
          <w:szCs w:val="24"/>
        </w:rPr>
        <w:t xml:space="preserve"> augļiem, ogām un dārzeņiem ik gadu būs negatīva</w:t>
      </w:r>
      <w:r w:rsidR="005A7D99">
        <w:rPr>
          <w:rFonts w:ascii="Times New Roman" w:hAnsi="Times New Roman" w:cs="Times New Roman"/>
          <w:sz w:val="24"/>
          <w:szCs w:val="24"/>
        </w:rPr>
        <w:t xml:space="preserve"> –</w:t>
      </w:r>
      <w:r w:rsidRPr="005E7203">
        <w:rPr>
          <w:rFonts w:ascii="Times New Roman" w:hAnsi="Times New Roman" w:cs="Times New Roman"/>
          <w:sz w:val="24"/>
          <w:szCs w:val="24"/>
        </w:rPr>
        <w:t xml:space="preserve"> 6</w:t>
      </w:r>
      <w:r w:rsidR="006D7E91" w:rsidRPr="005E7203">
        <w:rPr>
          <w:rFonts w:ascii="Times New Roman" w:hAnsi="Times New Roman" w:cs="Times New Roman"/>
          <w:sz w:val="24"/>
          <w:szCs w:val="24"/>
        </w:rPr>
        <w:t> </w:t>
      </w:r>
      <w:r w:rsidRPr="005E7203">
        <w:rPr>
          <w:rFonts w:ascii="Times New Roman" w:hAnsi="Times New Roman" w:cs="Times New Roman"/>
          <w:sz w:val="24"/>
          <w:szCs w:val="24"/>
        </w:rPr>
        <w:t>milj.</w:t>
      </w:r>
      <w:r w:rsidR="006D7E91" w:rsidRPr="005E7203">
        <w:rPr>
          <w:rFonts w:ascii="Times New Roman" w:hAnsi="Times New Roman" w:cs="Times New Roman"/>
          <w:sz w:val="24"/>
          <w:szCs w:val="24"/>
        </w:rPr>
        <w:t> </w:t>
      </w:r>
      <w:proofErr w:type="spellStart"/>
      <w:r w:rsidRPr="005E7203">
        <w:rPr>
          <w:rFonts w:ascii="Times New Roman" w:hAnsi="Times New Roman" w:cs="Times New Roman"/>
          <w:i/>
          <w:sz w:val="24"/>
          <w:szCs w:val="24"/>
        </w:rPr>
        <w:t>euro</w:t>
      </w:r>
      <w:proofErr w:type="spellEnd"/>
      <w:r w:rsidRPr="005E7203">
        <w:rPr>
          <w:rFonts w:ascii="Times New Roman" w:hAnsi="Times New Roman" w:cs="Times New Roman"/>
          <w:sz w:val="24"/>
          <w:szCs w:val="24"/>
        </w:rPr>
        <w:t xml:space="preserve"> apmērā</w:t>
      </w:r>
      <w:r w:rsidR="005A7D99">
        <w:rPr>
          <w:rFonts w:ascii="Times New Roman" w:hAnsi="Times New Roman" w:cs="Times New Roman"/>
          <w:sz w:val="24"/>
          <w:szCs w:val="24"/>
        </w:rPr>
        <w:t>,</w:t>
      </w:r>
      <w:r w:rsidR="00B2288C" w:rsidRPr="005E7203">
        <w:rPr>
          <w:rFonts w:ascii="Times New Roman" w:hAnsi="Times New Roman" w:cs="Times New Roman"/>
          <w:sz w:val="24"/>
          <w:szCs w:val="24"/>
        </w:rPr>
        <w:t xml:space="preserve"> </w:t>
      </w:r>
      <w:r w:rsidR="005A7D99">
        <w:rPr>
          <w:rFonts w:ascii="Times New Roman" w:hAnsi="Times New Roman" w:cs="Times New Roman"/>
          <w:sz w:val="24"/>
          <w:szCs w:val="24"/>
        </w:rPr>
        <w:t>b</w:t>
      </w:r>
      <w:r w:rsidR="00B2288C" w:rsidRPr="005E7203">
        <w:rPr>
          <w:rFonts w:ascii="Times New Roman" w:hAnsi="Times New Roman" w:cs="Times New Roman"/>
          <w:sz w:val="24"/>
          <w:szCs w:val="24"/>
        </w:rPr>
        <w:t>et likumprojekta “Grozījumi Pievienotās vērtības nodokļa likuma” anotācijā</w:t>
      </w:r>
      <w:r w:rsidR="00800031" w:rsidRPr="005E7203">
        <w:rPr>
          <w:rStyle w:val="FootnoteReference"/>
          <w:rFonts w:ascii="Times New Roman" w:hAnsi="Times New Roman" w:cs="Times New Roman"/>
          <w:sz w:val="24"/>
          <w:szCs w:val="24"/>
        </w:rPr>
        <w:footnoteReference w:id="15"/>
      </w:r>
      <w:r w:rsidR="00B2288C" w:rsidRPr="005E7203">
        <w:rPr>
          <w:rFonts w:ascii="Times New Roman" w:hAnsi="Times New Roman" w:cs="Times New Roman"/>
          <w:sz w:val="24"/>
          <w:szCs w:val="24"/>
        </w:rPr>
        <w:t xml:space="preserve"> </w:t>
      </w:r>
      <w:r w:rsidR="006D7E91" w:rsidRPr="005E7203">
        <w:rPr>
          <w:rFonts w:ascii="Times New Roman" w:hAnsi="Times New Roman" w:cs="Times New Roman"/>
          <w:sz w:val="24"/>
          <w:szCs w:val="24"/>
        </w:rPr>
        <w:t>norādīts</w:t>
      </w:r>
      <w:r w:rsidR="00B2288C" w:rsidRPr="005E7203">
        <w:rPr>
          <w:rFonts w:ascii="Times New Roman" w:hAnsi="Times New Roman" w:cs="Times New Roman"/>
          <w:sz w:val="24"/>
          <w:szCs w:val="24"/>
        </w:rPr>
        <w:t xml:space="preserve">, ka </w:t>
      </w:r>
      <w:r w:rsidR="0029205B" w:rsidRPr="005E7203">
        <w:rPr>
          <w:rFonts w:ascii="Times New Roman" w:hAnsi="Times New Roman" w:cs="Times New Roman"/>
          <w:sz w:val="24"/>
          <w:szCs w:val="24"/>
        </w:rPr>
        <w:t xml:space="preserve">saistībā ar samazinātās 5 % </w:t>
      </w:r>
      <w:r w:rsidR="005A7D99" w:rsidRPr="005E7203">
        <w:rPr>
          <w:rFonts w:ascii="Times New Roman" w:hAnsi="Times New Roman" w:cs="Times New Roman"/>
          <w:sz w:val="24"/>
          <w:szCs w:val="24"/>
        </w:rPr>
        <w:t xml:space="preserve">PVN </w:t>
      </w:r>
      <w:r w:rsidR="0029205B" w:rsidRPr="005E7203">
        <w:rPr>
          <w:rFonts w:ascii="Times New Roman" w:hAnsi="Times New Roman" w:cs="Times New Roman"/>
          <w:sz w:val="24"/>
          <w:szCs w:val="24"/>
        </w:rPr>
        <w:t>likmes saglabāšanu svaigiem augļiem, ogām un dārzeņiem no 2021. gada 1. janvāra līdz 2023. gada 31. decembrim 2021., 2022.</w:t>
      </w:r>
      <w:r w:rsidR="00EF5E2C">
        <w:rPr>
          <w:rFonts w:ascii="Times New Roman" w:hAnsi="Times New Roman" w:cs="Times New Roman"/>
          <w:sz w:val="24"/>
          <w:szCs w:val="24"/>
        </w:rPr>
        <w:t xml:space="preserve"> </w:t>
      </w:r>
      <w:r w:rsidR="0029205B" w:rsidRPr="005E7203">
        <w:rPr>
          <w:rFonts w:ascii="Times New Roman" w:hAnsi="Times New Roman" w:cs="Times New Roman"/>
          <w:sz w:val="24"/>
          <w:szCs w:val="24"/>
        </w:rPr>
        <w:t>un 2023.</w:t>
      </w:r>
      <w:r w:rsidR="005A7D99">
        <w:rPr>
          <w:rFonts w:ascii="Times New Roman" w:hAnsi="Times New Roman" w:cs="Times New Roman"/>
          <w:sz w:val="24"/>
          <w:szCs w:val="24"/>
        </w:rPr>
        <w:t> </w:t>
      </w:r>
      <w:r w:rsidR="0029205B" w:rsidRPr="005E7203">
        <w:rPr>
          <w:rFonts w:ascii="Times New Roman" w:hAnsi="Times New Roman" w:cs="Times New Roman"/>
          <w:sz w:val="24"/>
          <w:szCs w:val="24"/>
        </w:rPr>
        <w:t xml:space="preserve">gadā </w:t>
      </w:r>
      <w:r w:rsidR="00ED0AD2">
        <w:rPr>
          <w:rFonts w:ascii="Times New Roman" w:hAnsi="Times New Roman" w:cs="Times New Roman"/>
          <w:sz w:val="24"/>
          <w:szCs w:val="24"/>
        </w:rPr>
        <w:t>fiskālā ietekme uz valsts budžetu aprēķināta ik gadu</w:t>
      </w:r>
      <w:r w:rsidR="0029205B" w:rsidRPr="005E7203">
        <w:rPr>
          <w:rFonts w:ascii="Times New Roman" w:hAnsi="Times New Roman" w:cs="Times New Roman"/>
          <w:sz w:val="24"/>
          <w:szCs w:val="24"/>
        </w:rPr>
        <w:t xml:space="preserve"> 3 milj. </w:t>
      </w:r>
      <w:proofErr w:type="spellStart"/>
      <w:r w:rsidR="0029205B" w:rsidRPr="005E7203">
        <w:rPr>
          <w:rFonts w:ascii="Times New Roman" w:hAnsi="Times New Roman" w:cs="Times New Roman"/>
          <w:i/>
          <w:iCs/>
          <w:sz w:val="24"/>
          <w:szCs w:val="24"/>
        </w:rPr>
        <w:t>euro</w:t>
      </w:r>
      <w:proofErr w:type="spellEnd"/>
      <w:r w:rsidR="0029205B" w:rsidRPr="005E7203">
        <w:rPr>
          <w:rFonts w:ascii="Times New Roman" w:hAnsi="Times New Roman" w:cs="Times New Roman"/>
          <w:sz w:val="24"/>
          <w:szCs w:val="24"/>
        </w:rPr>
        <w:t xml:space="preserve"> apmērā.</w:t>
      </w:r>
    </w:p>
    <w:p w14:paraId="7AE38C95" w14:textId="7368CD44" w:rsidR="000504F5" w:rsidRPr="005E7203" w:rsidRDefault="005A7D99" w:rsidP="00407835">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Pr="00DC2690">
        <w:rPr>
          <w:rFonts w:ascii="Times New Roman" w:hAnsi="Times New Roman" w:cs="Times New Roman"/>
          <w:sz w:val="24"/>
          <w:szCs w:val="24"/>
        </w:rPr>
        <w:t>nalizējot datus par Pievienotās vērtības nodokļa likumā noteikto augļu, ogu un dārzeņu audzētājiem, kuri kaut vienā 2022.</w:t>
      </w:r>
      <w:r>
        <w:rPr>
          <w:rFonts w:ascii="Times New Roman" w:hAnsi="Times New Roman" w:cs="Times New Roman"/>
          <w:sz w:val="24"/>
          <w:szCs w:val="24"/>
        </w:rPr>
        <w:t xml:space="preserve"> </w:t>
      </w:r>
      <w:r w:rsidRPr="00DC2690">
        <w:rPr>
          <w:rFonts w:ascii="Times New Roman" w:hAnsi="Times New Roman" w:cs="Times New Roman"/>
          <w:sz w:val="24"/>
          <w:szCs w:val="24"/>
        </w:rPr>
        <w:t>gada periodā</w:t>
      </w:r>
      <w:r>
        <w:rPr>
          <w:rFonts w:ascii="Times New Roman" w:hAnsi="Times New Roman" w:cs="Times New Roman"/>
          <w:sz w:val="24"/>
          <w:szCs w:val="24"/>
        </w:rPr>
        <w:t xml:space="preserve"> </w:t>
      </w:r>
      <w:r w:rsidRPr="00DC2690">
        <w:rPr>
          <w:rFonts w:ascii="Times New Roman" w:hAnsi="Times New Roman" w:cs="Times New Roman"/>
          <w:sz w:val="24"/>
          <w:szCs w:val="24"/>
        </w:rPr>
        <w:t>norādījuši ar 5</w:t>
      </w:r>
      <w:r>
        <w:rPr>
          <w:rFonts w:ascii="Times New Roman" w:hAnsi="Times New Roman" w:cs="Times New Roman"/>
          <w:sz w:val="24"/>
          <w:szCs w:val="24"/>
        </w:rPr>
        <w:t> </w:t>
      </w:r>
      <w:r w:rsidRPr="00DC2690">
        <w:rPr>
          <w:rFonts w:ascii="Times New Roman" w:hAnsi="Times New Roman" w:cs="Times New Roman"/>
          <w:sz w:val="24"/>
          <w:szCs w:val="24"/>
        </w:rPr>
        <w:t>% PVN likmi apliekamos darījumus</w:t>
      </w:r>
      <w:r>
        <w:rPr>
          <w:rFonts w:ascii="Times New Roman" w:hAnsi="Times New Roman" w:cs="Times New Roman"/>
          <w:sz w:val="24"/>
          <w:szCs w:val="24"/>
        </w:rPr>
        <w:t>, konstatējams, ka</w:t>
      </w:r>
      <w:r w:rsidRPr="00DC2690">
        <w:rPr>
          <w:rFonts w:ascii="Times New Roman" w:hAnsi="Times New Roman" w:cs="Times New Roman"/>
          <w:sz w:val="24"/>
          <w:szCs w:val="24"/>
        </w:rPr>
        <w:t xml:space="preserve"> </w:t>
      </w:r>
      <w:r>
        <w:rPr>
          <w:rFonts w:ascii="Times New Roman" w:hAnsi="Times New Roman" w:cs="Times New Roman"/>
          <w:sz w:val="24"/>
          <w:szCs w:val="24"/>
        </w:rPr>
        <w:t>i</w:t>
      </w:r>
      <w:r w:rsidR="000504F5" w:rsidRPr="00DC2690">
        <w:rPr>
          <w:rFonts w:ascii="Times New Roman" w:hAnsi="Times New Roman" w:cs="Times New Roman"/>
          <w:sz w:val="24"/>
          <w:szCs w:val="24"/>
        </w:rPr>
        <w:t>etekme uz valsts budžetu līdz ar samazinātās 5</w:t>
      </w:r>
      <w:r w:rsidR="00EF5E2C">
        <w:rPr>
          <w:rFonts w:ascii="Times New Roman" w:hAnsi="Times New Roman" w:cs="Times New Roman"/>
          <w:sz w:val="24"/>
          <w:szCs w:val="24"/>
        </w:rPr>
        <w:t xml:space="preserve"> </w:t>
      </w:r>
      <w:r w:rsidR="000504F5" w:rsidRPr="00DC2690">
        <w:rPr>
          <w:rFonts w:ascii="Times New Roman" w:hAnsi="Times New Roman" w:cs="Times New Roman"/>
          <w:sz w:val="24"/>
          <w:szCs w:val="24"/>
        </w:rPr>
        <w:t xml:space="preserve">% </w:t>
      </w:r>
      <w:r w:rsidRPr="00DC2690">
        <w:rPr>
          <w:rFonts w:ascii="Times New Roman" w:hAnsi="Times New Roman" w:cs="Times New Roman"/>
          <w:sz w:val="24"/>
          <w:szCs w:val="24"/>
        </w:rPr>
        <w:t xml:space="preserve">PVN </w:t>
      </w:r>
      <w:r w:rsidR="000504F5" w:rsidRPr="00DC2690">
        <w:rPr>
          <w:rFonts w:ascii="Times New Roman" w:hAnsi="Times New Roman" w:cs="Times New Roman"/>
          <w:sz w:val="24"/>
          <w:szCs w:val="24"/>
        </w:rPr>
        <w:t xml:space="preserve">likmes ieviešanu ir bijusi svārstīga. </w:t>
      </w:r>
    </w:p>
    <w:p w14:paraId="7F8C4110" w14:textId="0DA62069" w:rsidR="005D2D6A" w:rsidRDefault="00A67BC7" w:rsidP="00407835">
      <w:pPr>
        <w:tabs>
          <w:tab w:val="left" w:pos="1134"/>
        </w:tabs>
        <w:spacing w:before="120" w:after="120" w:line="240" w:lineRule="auto"/>
        <w:jc w:val="center"/>
      </w:pPr>
      <w:r>
        <w:rPr>
          <w:noProof/>
          <w:lang w:eastAsia="lv-LV"/>
        </w:rPr>
        <w:drawing>
          <wp:inline distT="0" distB="0" distL="0" distR="0" wp14:anchorId="3936129E" wp14:editId="1747F804">
            <wp:extent cx="5243209" cy="2626468"/>
            <wp:effectExtent l="0" t="0" r="14605" b="2540"/>
            <wp:docPr id="8" name="Chart 8">
              <a:extLst xmlns:a="http://schemas.openxmlformats.org/drawingml/2006/main">
                <a:ext uri="{FF2B5EF4-FFF2-40B4-BE49-F238E27FC236}">
                  <a16:creationId xmlns:a16="http://schemas.microsoft.com/office/drawing/2014/main" id="{9A431505-2C0B-4E9B-81E0-9F6DA8DCBB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534BD57" w14:textId="46522458" w:rsidR="0043564E" w:rsidRPr="005842B1" w:rsidRDefault="0043564E" w:rsidP="0043564E">
      <w:pPr>
        <w:tabs>
          <w:tab w:val="left" w:pos="1134"/>
        </w:tabs>
        <w:spacing w:after="0" w:line="240" w:lineRule="auto"/>
        <w:ind w:firstLine="706"/>
        <w:jc w:val="both"/>
        <w:rPr>
          <w:rFonts w:ascii="Times New Roman" w:eastAsia="Times New Roman" w:hAnsi="Times New Roman" w:cs="Times New Roman"/>
          <w:iCs/>
          <w:color w:val="000000" w:themeColor="text1"/>
          <w:sz w:val="24"/>
          <w:szCs w:val="24"/>
        </w:rPr>
      </w:pPr>
      <w:r w:rsidRPr="00407835">
        <w:rPr>
          <w:rFonts w:ascii="Times New Roman" w:eastAsia="Times New Roman" w:hAnsi="Times New Roman" w:cs="Times New Roman"/>
          <w:iCs/>
          <w:color w:val="000000" w:themeColor="text1"/>
          <w:sz w:val="24"/>
          <w:szCs w:val="24"/>
        </w:rPr>
        <w:t>1</w:t>
      </w:r>
      <w:r w:rsidR="00407835" w:rsidRPr="00407835">
        <w:rPr>
          <w:rFonts w:ascii="Times New Roman" w:eastAsia="Times New Roman" w:hAnsi="Times New Roman" w:cs="Times New Roman"/>
          <w:iCs/>
          <w:color w:val="000000" w:themeColor="text1"/>
          <w:sz w:val="24"/>
          <w:szCs w:val="24"/>
        </w:rPr>
        <w:t>4</w:t>
      </w:r>
      <w:r w:rsidRPr="00407835">
        <w:rPr>
          <w:rFonts w:ascii="Times New Roman" w:eastAsia="Times New Roman" w:hAnsi="Times New Roman" w:cs="Times New Roman"/>
          <w:iCs/>
          <w:color w:val="000000" w:themeColor="text1"/>
          <w:sz w:val="24"/>
          <w:szCs w:val="24"/>
        </w:rPr>
        <w:t>.</w:t>
      </w:r>
      <w:r w:rsidR="00EF5E2C" w:rsidRPr="00407835">
        <w:rPr>
          <w:rFonts w:ascii="Times New Roman" w:eastAsia="Times New Roman" w:hAnsi="Times New Roman" w:cs="Times New Roman"/>
          <w:iCs/>
          <w:color w:val="000000" w:themeColor="text1"/>
          <w:sz w:val="24"/>
          <w:szCs w:val="24"/>
        </w:rPr>
        <w:t> </w:t>
      </w:r>
      <w:r w:rsidRPr="00407835">
        <w:rPr>
          <w:rFonts w:ascii="Times New Roman" w:eastAsia="Times New Roman" w:hAnsi="Times New Roman" w:cs="Times New Roman"/>
          <w:iCs/>
          <w:color w:val="000000" w:themeColor="text1"/>
          <w:sz w:val="24"/>
          <w:szCs w:val="24"/>
        </w:rPr>
        <w:t xml:space="preserve">attēls. </w:t>
      </w:r>
      <w:r w:rsidR="00EF5E2C" w:rsidRPr="00407835">
        <w:rPr>
          <w:rFonts w:ascii="Times New Roman" w:eastAsia="Times New Roman" w:hAnsi="Times New Roman" w:cs="Times New Roman"/>
          <w:iCs/>
          <w:color w:val="000000" w:themeColor="text1"/>
          <w:sz w:val="24"/>
          <w:szCs w:val="24"/>
        </w:rPr>
        <w:t>S</w:t>
      </w:r>
      <w:r w:rsidRPr="00407835">
        <w:rPr>
          <w:rFonts w:ascii="Times New Roman" w:eastAsia="Times New Roman" w:hAnsi="Times New Roman" w:cs="Times New Roman"/>
          <w:iCs/>
          <w:color w:val="000000" w:themeColor="text1"/>
          <w:sz w:val="24"/>
          <w:szCs w:val="24"/>
        </w:rPr>
        <w:t xml:space="preserve">amazinātās </w:t>
      </w:r>
      <w:r w:rsidR="00EF5E2C" w:rsidRPr="00407835">
        <w:rPr>
          <w:rFonts w:ascii="Times New Roman" w:eastAsia="Times New Roman" w:hAnsi="Times New Roman" w:cs="Times New Roman"/>
          <w:iCs/>
          <w:color w:val="000000" w:themeColor="text1"/>
          <w:sz w:val="24"/>
          <w:szCs w:val="24"/>
        </w:rPr>
        <w:t xml:space="preserve">PVN </w:t>
      </w:r>
      <w:r w:rsidRPr="00407835">
        <w:rPr>
          <w:rFonts w:ascii="Times New Roman" w:eastAsia="Times New Roman" w:hAnsi="Times New Roman" w:cs="Times New Roman"/>
          <w:iCs/>
          <w:color w:val="000000" w:themeColor="text1"/>
          <w:sz w:val="24"/>
          <w:szCs w:val="24"/>
        </w:rPr>
        <w:t>likmes 5</w:t>
      </w:r>
      <w:r w:rsidR="00EF5E2C" w:rsidRPr="00407835">
        <w:rPr>
          <w:rFonts w:ascii="Times New Roman" w:eastAsia="Times New Roman" w:hAnsi="Times New Roman" w:cs="Times New Roman"/>
          <w:iCs/>
          <w:color w:val="000000" w:themeColor="text1"/>
          <w:sz w:val="24"/>
          <w:szCs w:val="24"/>
        </w:rPr>
        <w:t> </w:t>
      </w:r>
      <w:r w:rsidRPr="00407835">
        <w:rPr>
          <w:rFonts w:ascii="Times New Roman" w:eastAsia="Times New Roman" w:hAnsi="Times New Roman" w:cs="Times New Roman"/>
          <w:iCs/>
          <w:color w:val="000000" w:themeColor="text1"/>
          <w:sz w:val="24"/>
          <w:szCs w:val="24"/>
        </w:rPr>
        <w:t>% apmērā ieviešanas svaigiem augļiem, ogām un dārzeņiem ietekme uz valsts budžetu no 2019. līdz 2022.</w:t>
      </w:r>
      <w:r w:rsidR="005A7D99" w:rsidRPr="00407835">
        <w:rPr>
          <w:rFonts w:ascii="Times New Roman" w:eastAsia="Times New Roman" w:hAnsi="Times New Roman" w:cs="Times New Roman"/>
          <w:iCs/>
          <w:color w:val="000000" w:themeColor="text1"/>
          <w:sz w:val="24"/>
          <w:szCs w:val="24"/>
        </w:rPr>
        <w:t xml:space="preserve"> </w:t>
      </w:r>
      <w:r w:rsidRPr="00407835">
        <w:rPr>
          <w:rFonts w:ascii="Times New Roman" w:eastAsia="Times New Roman" w:hAnsi="Times New Roman" w:cs="Times New Roman"/>
          <w:iCs/>
          <w:color w:val="000000" w:themeColor="text1"/>
          <w:sz w:val="24"/>
          <w:szCs w:val="24"/>
        </w:rPr>
        <w:t xml:space="preserve">gadam, milj. </w:t>
      </w:r>
      <w:proofErr w:type="spellStart"/>
      <w:r w:rsidRPr="00407835">
        <w:rPr>
          <w:rFonts w:ascii="Times New Roman" w:eastAsia="Times New Roman" w:hAnsi="Times New Roman" w:cs="Times New Roman"/>
          <w:i/>
          <w:color w:val="000000" w:themeColor="text1"/>
          <w:sz w:val="24"/>
          <w:szCs w:val="24"/>
        </w:rPr>
        <w:t>euro</w:t>
      </w:r>
      <w:proofErr w:type="spellEnd"/>
    </w:p>
    <w:p w14:paraId="535075E4" w14:textId="77777777" w:rsidR="0043564E" w:rsidRPr="005842B1" w:rsidRDefault="0043564E" w:rsidP="0043564E">
      <w:pPr>
        <w:tabs>
          <w:tab w:val="left" w:pos="1134"/>
        </w:tabs>
        <w:spacing w:after="120" w:line="240" w:lineRule="auto"/>
        <w:ind w:firstLine="709"/>
        <w:jc w:val="both"/>
        <w:rPr>
          <w:rFonts w:ascii="Times New Roman" w:eastAsia="Times New Roman" w:hAnsi="Times New Roman" w:cs="Times New Roman"/>
          <w:sz w:val="20"/>
          <w:szCs w:val="20"/>
        </w:rPr>
      </w:pPr>
      <w:r w:rsidRPr="005842B1">
        <w:rPr>
          <w:rFonts w:ascii="Times New Roman" w:eastAsia="Times New Roman" w:hAnsi="Times New Roman" w:cs="Times New Roman"/>
          <w:i/>
          <w:sz w:val="20"/>
          <w:szCs w:val="20"/>
        </w:rPr>
        <w:t xml:space="preserve">Datu avots: </w:t>
      </w:r>
      <w:r w:rsidRPr="005842B1">
        <w:rPr>
          <w:rFonts w:ascii="Times New Roman" w:eastAsia="Times New Roman" w:hAnsi="Times New Roman" w:cs="Times New Roman"/>
          <w:sz w:val="20"/>
          <w:szCs w:val="20"/>
        </w:rPr>
        <w:t>Zemkopības ministrija pēc VID datiem</w:t>
      </w:r>
    </w:p>
    <w:p w14:paraId="514D91DC" w14:textId="659B78CB" w:rsidR="00E85AAB" w:rsidRPr="00960043" w:rsidRDefault="00836A1A" w:rsidP="0043564E">
      <w:pPr>
        <w:tabs>
          <w:tab w:val="left" w:pos="1134"/>
        </w:tabs>
        <w:spacing w:after="0" w:line="240" w:lineRule="auto"/>
        <w:ind w:firstLine="709"/>
        <w:jc w:val="both"/>
        <w:rPr>
          <w:rFonts w:ascii="Times New Roman" w:hAnsi="Times New Roman" w:cs="Times New Roman"/>
          <w:sz w:val="24"/>
          <w:szCs w:val="24"/>
        </w:rPr>
      </w:pPr>
      <w:r w:rsidRPr="005842B1">
        <w:rPr>
          <w:rFonts w:ascii="Times New Roman" w:hAnsi="Times New Roman" w:cs="Times New Roman"/>
          <w:sz w:val="24"/>
          <w:szCs w:val="24"/>
        </w:rPr>
        <w:t>Ietekme uz valsts budžetu līdz ar samazinātās 5</w:t>
      </w:r>
      <w:r w:rsidR="005A7D99">
        <w:rPr>
          <w:rFonts w:ascii="Times New Roman" w:hAnsi="Times New Roman" w:cs="Times New Roman"/>
          <w:sz w:val="24"/>
          <w:szCs w:val="24"/>
        </w:rPr>
        <w:t xml:space="preserve"> </w:t>
      </w:r>
      <w:r w:rsidRPr="005842B1">
        <w:rPr>
          <w:rFonts w:ascii="Times New Roman" w:hAnsi="Times New Roman" w:cs="Times New Roman"/>
          <w:sz w:val="24"/>
          <w:szCs w:val="24"/>
        </w:rPr>
        <w:t xml:space="preserve">% </w:t>
      </w:r>
      <w:r w:rsidR="005A7D99" w:rsidRPr="005842B1">
        <w:rPr>
          <w:rFonts w:ascii="Times New Roman" w:hAnsi="Times New Roman" w:cs="Times New Roman"/>
          <w:sz w:val="24"/>
          <w:szCs w:val="24"/>
        </w:rPr>
        <w:t xml:space="preserve">PVN </w:t>
      </w:r>
      <w:r w:rsidRPr="005842B1">
        <w:rPr>
          <w:rFonts w:ascii="Times New Roman" w:hAnsi="Times New Roman" w:cs="Times New Roman"/>
          <w:sz w:val="24"/>
          <w:szCs w:val="24"/>
        </w:rPr>
        <w:t xml:space="preserve">likmes ieviešanu </w:t>
      </w:r>
      <w:r w:rsidR="005A7D99" w:rsidRPr="005842B1">
        <w:rPr>
          <w:rFonts w:ascii="Times New Roman" w:hAnsi="Times New Roman" w:cs="Times New Roman"/>
          <w:sz w:val="24"/>
          <w:szCs w:val="24"/>
        </w:rPr>
        <w:t xml:space="preserve">bija negatīva </w:t>
      </w:r>
      <w:r w:rsidR="005A7D99">
        <w:rPr>
          <w:rFonts w:ascii="Times New Roman" w:hAnsi="Times New Roman" w:cs="Times New Roman"/>
          <w:sz w:val="24"/>
          <w:szCs w:val="24"/>
        </w:rPr>
        <w:t xml:space="preserve">gan </w:t>
      </w:r>
      <w:r w:rsidR="0043564E" w:rsidRPr="005842B1">
        <w:rPr>
          <w:rFonts w:ascii="Times New Roman" w:hAnsi="Times New Roman" w:cs="Times New Roman"/>
          <w:sz w:val="24"/>
          <w:szCs w:val="24"/>
        </w:rPr>
        <w:t>201</w:t>
      </w:r>
      <w:r w:rsidR="00ED1A0F" w:rsidRPr="005842B1">
        <w:rPr>
          <w:rFonts w:ascii="Times New Roman" w:hAnsi="Times New Roman" w:cs="Times New Roman"/>
          <w:sz w:val="24"/>
          <w:szCs w:val="24"/>
        </w:rPr>
        <w:t>9</w:t>
      </w:r>
      <w:r w:rsidR="0043564E" w:rsidRPr="005842B1">
        <w:rPr>
          <w:rFonts w:ascii="Times New Roman" w:hAnsi="Times New Roman" w:cs="Times New Roman"/>
          <w:sz w:val="24"/>
          <w:szCs w:val="24"/>
        </w:rPr>
        <w:t>.</w:t>
      </w:r>
      <w:r w:rsidR="00261301" w:rsidRPr="005842B1">
        <w:rPr>
          <w:rFonts w:ascii="Times New Roman" w:hAnsi="Times New Roman" w:cs="Times New Roman"/>
          <w:sz w:val="24"/>
          <w:szCs w:val="24"/>
        </w:rPr>
        <w:t> </w:t>
      </w:r>
      <w:r w:rsidR="0043564E" w:rsidRPr="005842B1">
        <w:rPr>
          <w:rFonts w:ascii="Times New Roman" w:hAnsi="Times New Roman" w:cs="Times New Roman"/>
          <w:sz w:val="24"/>
          <w:szCs w:val="24"/>
        </w:rPr>
        <w:t>gadā</w:t>
      </w:r>
      <w:r w:rsidR="005A7D99">
        <w:rPr>
          <w:rFonts w:ascii="Times New Roman" w:hAnsi="Times New Roman" w:cs="Times New Roman"/>
          <w:sz w:val="24"/>
          <w:szCs w:val="24"/>
        </w:rPr>
        <w:t xml:space="preserve"> </w:t>
      </w:r>
      <w:r w:rsidR="00094035" w:rsidRPr="005842B1">
        <w:rPr>
          <w:rFonts w:ascii="Times New Roman" w:hAnsi="Times New Roman" w:cs="Times New Roman"/>
          <w:sz w:val="24"/>
          <w:szCs w:val="24"/>
        </w:rPr>
        <w:t>– 2,75 milj</w:t>
      </w:r>
      <w:r w:rsidR="005A7D99">
        <w:rPr>
          <w:rFonts w:ascii="Times New Roman" w:hAnsi="Times New Roman" w:cs="Times New Roman"/>
          <w:sz w:val="24"/>
          <w:szCs w:val="24"/>
        </w:rPr>
        <w:t>.</w:t>
      </w:r>
      <w:r w:rsidR="00094035" w:rsidRPr="005842B1">
        <w:rPr>
          <w:rFonts w:ascii="Times New Roman" w:hAnsi="Times New Roman" w:cs="Times New Roman"/>
          <w:sz w:val="24"/>
          <w:szCs w:val="24"/>
        </w:rPr>
        <w:t> </w:t>
      </w:r>
      <w:proofErr w:type="spellStart"/>
      <w:r w:rsidR="00094035" w:rsidRPr="005842B1">
        <w:rPr>
          <w:rFonts w:ascii="Times New Roman" w:hAnsi="Times New Roman" w:cs="Times New Roman"/>
          <w:i/>
          <w:iCs/>
          <w:sz w:val="24"/>
          <w:szCs w:val="24"/>
        </w:rPr>
        <w:t>euro</w:t>
      </w:r>
      <w:proofErr w:type="spellEnd"/>
      <w:r w:rsidR="00094035" w:rsidRPr="005842B1">
        <w:rPr>
          <w:rFonts w:ascii="Times New Roman" w:hAnsi="Times New Roman" w:cs="Times New Roman"/>
          <w:sz w:val="24"/>
          <w:szCs w:val="24"/>
        </w:rPr>
        <w:t xml:space="preserve">, </w:t>
      </w:r>
      <w:r w:rsidR="005A7D99">
        <w:rPr>
          <w:rFonts w:ascii="Times New Roman" w:hAnsi="Times New Roman" w:cs="Times New Roman"/>
          <w:sz w:val="24"/>
          <w:szCs w:val="24"/>
        </w:rPr>
        <w:t xml:space="preserve">gan </w:t>
      </w:r>
      <w:r w:rsidR="00094035" w:rsidRPr="005842B1">
        <w:rPr>
          <w:rFonts w:ascii="Times New Roman" w:hAnsi="Times New Roman" w:cs="Times New Roman"/>
          <w:sz w:val="24"/>
          <w:szCs w:val="24"/>
        </w:rPr>
        <w:t>2020.</w:t>
      </w:r>
      <w:r w:rsidR="00BF338E" w:rsidRPr="005842B1">
        <w:rPr>
          <w:rFonts w:ascii="Times New Roman" w:hAnsi="Times New Roman" w:cs="Times New Roman"/>
          <w:sz w:val="24"/>
          <w:szCs w:val="24"/>
        </w:rPr>
        <w:t> </w:t>
      </w:r>
      <w:r w:rsidR="00094035" w:rsidRPr="005842B1">
        <w:rPr>
          <w:rFonts w:ascii="Times New Roman" w:hAnsi="Times New Roman" w:cs="Times New Roman"/>
          <w:sz w:val="24"/>
          <w:szCs w:val="24"/>
        </w:rPr>
        <w:t>gadā</w:t>
      </w:r>
      <w:r w:rsidR="005A7D99">
        <w:rPr>
          <w:rFonts w:ascii="Times New Roman" w:hAnsi="Times New Roman" w:cs="Times New Roman"/>
          <w:sz w:val="24"/>
          <w:szCs w:val="24"/>
        </w:rPr>
        <w:t xml:space="preserve"> </w:t>
      </w:r>
      <w:r w:rsidR="00094035" w:rsidRPr="005842B1">
        <w:rPr>
          <w:rFonts w:ascii="Times New Roman" w:hAnsi="Times New Roman" w:cs="Times New Roman"/>
          <w:sz w:val="24"/>
          <w:szCs w:val="24"/>
        </w:rPr>
        <w:t>– 2,01 milj. </w:t>
      </w:r>
      <w:proofErr w:type="spellStart"/>
      <w:r w:rsidR="00094035" w:rsidRPr="005842B1">
        <w:rPr>
          <w:rFonts w:ascii="Times New Roman" w:hAnsi="Times New Roman" w:cs="Times New Roman"/>
          <w:i/>
          <w:iCs/>
          <w:sz w:val="24"/>
          <w:szCs w:val="24"/>
        </w:rPr>
        <w:t>euro</w:t>
      </w:r>
      <w:proofErr w:type="spellEnd"/>
      <w:r w:rsidR="005A7D99">
        <w:rPr>
          <w:rFonts w:ascii="Times New Roman" w:hAnsi="Times New Roman" w:cs="Times New Roman"/>
          <w:sz w:val="24"/>
          <w:szCs w:val="24"/>
        </w:rPr>
        <w:t>. V</w:t>
      </w:r>
      <w:r w:rsidR="005A7D99" w:rsidRPr="005842B1">
        <w:rPr>
          <w:rFonts w:ascii="Times New Roman" w:hAnsi="Times New Roman" w:cs="Times New Roman"/>
          <w:sz w:val="24"/>
          <w:szCs w:val="24"/>
        </w:rPr>
        <w:t xml:space="preserve">ismazākā </w:t>
      </w:r>
      <w:r w:rsidR="005A7D99">
        <w:rPr>
          <w:rFonts w:ascii="Times New Roman" w:hAnsi="Times New Roman" w:cs="Times New Roman"/>
          <w:sz w:val="24"/>
          <w:szCs w:val="24"/>
        </w:rPr>
        <w:t xml:space="preserve">tā bija </w:t>
      </w:r>
      <w:r w:rsidR="00094035" w:rsidRPr="005842B1">
        <w:rPr>
          <w:rFonts w:ascii="Times New Roman" w:hAnsi="Times New Roman" w:cs="Times New Roman"/>
          <w:sz w:val="24"/>
          <w:szCs w:val="24"/>
        </w:rPr>
        <w:t>20</w:t>
      </w:r>
      <w:r w:rsidR="00E85AAB" w:rsidRPr="005842B1">
        <w:rPr>
          <w:rFonts w:ascii="Times New Roman" w:hAnsi="Times New Roman" w:cs="Times New Roman"/>
          <w:sz w:val="24"/>
          <w:szCs w:val="24"/>
        </w:rPr>
        <w:t>21.</w:t>
      </w:r>
      <w:r w:rsidR="00BF338E" w:rsidRPr="005842B1">
        <w:rPr>
          <w:rFonts w:ascii="Times New Roman" w:hAnsi="Times New Roman" w:cs="Times New Roman"/>
          <w:sz w:val="24"/>
          <w:szCs w:val="24"/>
        </w:rPr>
        <w:t> </w:t>
      </w:r>
      <w:r w:rsidR="00E85AAB" w:rsidRPr="005842B1">
        <w:rPr>
          <w:rFonts w:ascii="Times New Roman" w:hAnsi="Times New Roman" w:cs="Times New Roman"/>
          <w:sz w:val="24"/>
          <w:szCs w:val="24"/>
        </w:rPr>
        <w:t>gadā</w:t>
      </w:r>
      <w:r w:rsidR="00EF5E2C">
        <w:rPr>
          <w:rFonts w:ascii="Times New Roman" w:hAnsi="Times New Roman" w:cs="Times New Roman"/>
          <w:sz w:val="24"/>
          <w:szCs w:val="24"/>
        </w:rPr>
        <w:t> </w:t>
      </w:r>
      <w:r w:rsidR="00E85AAB" w:rsidRPr="005842B1">
        <w:rPr>
          <w:rFonts w:ascii="Times New Roman" w:hAnsi="Times New Roman" w:cs="Times New Roman"/>
          <w:sz w:val="24"/>
          <w:szCs w:val="24"/>
        </w:rPr>
        <w:t>– 1,33 milj.</w:t>
      </w:r>
      <w:r w:rsidR="005A7D99">
        <w:rPr>
          <w:rFonts w:ascii="Times New Roman" w:hAnsi="Times New Roman" w:cs="Times New Roman"/>
          <w:sz w:val="24"/>
          <w:szCs w:val="24"/>
        </w:rPr>
        <w:t xml:space="preserve"> </w:t>
      </w:r>
      <w:proofErr w:type="spellStart"/>
      <w:r w:rsidR="00E85AAB" w:rsidRPr="005842B1">
        <w:rPr>
          <w:rFonts w:ascii="Times New Roman" w:hAnsi="Times New Roman" w:cs="Times New Roman"/>
          <w:sz w:val="24"/>
          <w:szCs w:val="24"/>
        </w:rPr>
        <w:t>e</w:t>
      </w:r>
      <w:r w:rsidR="00E85AAB" w:rsidRPr="005842B1">
        <w:rPr>
          <w:rFonts w:ascii="Times New Roman" w:hAnsi="Times New Roman" w:cs="Times New Roman"/>
          <w:i/>
          <w:iCs/>
          <w:sz w:val="24"/>
          <w:szCs w:val="24"/>
        </w:rPr>
        <w:t>uro</w:t>
      </w:r>
      <w:proofErr w:type="spellEnd"/>
      <w:r w:rsidR="00E85AAB" w:rsidRPr="005842B1">
        <w:rPr>
          <w:rFonts w:ascii="Times New Roman" w:hAnsi="Times New Roman" w:cs="Times New Roman"/>
          <w:sz w:val="24"/>
          <w:szCs w:val="24"/>
        </w:rPr>
        <w:t xml:space="preserve">, </w:t>
      </w:r>
      <w:r w:rsidR="005A7D99">
        <w:rPr>
          <w:rFonts w:ascii="Times New Roman" w:hAnsi="Times New Roman" w:cs="Times New Roman"/>
          <w:sz w:val="24"/>
          <w:szCs w:val="24"/>
        </w:rPr>
        <w:t>bet vislielākā</w:t>
      </w:r>
      <w:r w:rsidR="00E85AAB" w:rsidRPr="005842B1">
        <w:rPr>
          <w:rFonts w:ascii="Times New Roman" w:hAnsi="Times New Roman" w:cs="Times New Roman"/>
          <w:sz w:val="24"/>
          <w:szCs w:val="24"/>
        </w:rPr>
        <w:t xml:space="preserve"> 2022.</w:t>
      </w:r>
      <w:r w:rsidR="00960043" w:rsidRPr="005842B1">
        <w:rPr>
          <w:rFonts w:ascii="Times New Roman" w:hAnsi="Times New Roman" w:cs="Times New Roman"/>
          <w:sz w:val="24"/>
          <w:szCs w:val="24"/>
        </w:rPr>
        <w:t> </w:t>
      </w:r>
      <w:r w:rsidR="00E85AAB" w:rsidRPr="005842B1">
        <w:rPr>
          <w:rFonts w:ascii="Times New Roman" w:hAnsi="Times New Roman" w:cs="Times New Roman"/>
          <w:sz w:val="24"/>
          <w:szCs w:val="24"/>
        </w:rPr>
        <w:t>gadā – 3,69 milj</w:t>
      </w:r>
      <w:r w:rsidR="00960043" w:rsidRPr="005842B1">
        <w:rPr>
          <w:rFonts w:ascii="Times New Roman" w:hAnsi="Times New Roman" w:cs="Times New Roman"/>
          <w:sz w:val="24"/>
          <w:szCs w:val="24"/>
        </w:rPr>
        <w:t>.</w:t>
      </w:r>
      <w:r w:rsidR="005A7D99">
        <w:rPr>
          <w:rFonts w:ascii="Times New Roman" w:hAnsi="Times New Roman" w:cs="Times New Roman"/>
          <w:sz w:val="24"/>
          <w:szCs w:val="24"/>
        </w:rPr>
        <w:t xml:space="preserve"> </w:t>
      </w:r>
      <w:proofErr w:type="spellStart"/>
      <w:r w:rsidR="00E85AAB" w:rsidRPr="005842B1">
        <w:rPr>
          <w:rFonts w:ascii="Times New Roman" w:hAnsi="Times New Roman" w:cs="Times New Roman"/>
          <w:i/>
          <w:iCs/>
          <w:sz w:val="24"/>
          <w:szCs w:val="24"/>
        </w:rPr>
        <w:t>euro</w:t>
      </w:r>
      <w:proofErr w:type="spellEnd"/>
      <w:r w:rsidR="00261301" w:rsidRPr="005842B1">
        <w:rPr>
          <w:rFonts w:ascii="Times New Roman" w:hAnsi="Times New Roman" w:cs="Times New Roman"/>
          <w:sz w:val="24"/>
          <w:szCs w:val="24"/>
        </w:rPr>
        <w:t xml:space="preserve"> (1</w:t>
      </w:r>
      <w:r w:rsidR="00407835">
        <w:rPr>
          <w:rFonts w:ascii="Times New Roman" w:hAnsi="Times New Roman" w:cs="Times New Roman"/>
          <w:sz w:val="24"/>
          <w:szCs w:val="24"/>
        </w:rPr>
        <w:t>4</w:t>
      </w:r>
      <w:r w:rsidR="00261301" w:rsidRPr="005842B1">
        <w:rPr>
          <w:rFonts w:ascii="Times New Roman" w:hAnsi="Times New Roman" w:cs="Times New Roman"/>
          <w:sz w:val="24"/>
          <w:szCs w:val="24"/>
        </w:rPr>
        <w:t>.</w:t>
      </w:r>
      <w:r w:rsidR="00EF5E2C">
        <w:rPr>
          <w:rFonts w:ascii="Times New Roman" w:hAnsi="Times New Roman" w:cs="Times New Roman"/>
          <w:sz w:val="24"/>
          <w:szCs w:val="24"/>
        </w:rPr>
        <w:t> </w:t>
      </w:r>
      <w:r w:rsidR="00261301" w:rsidRPr="005842B1">
        <w:rPr>
          <w:rFonts w:ascii="Times New Roman" w:hAnsi="Times New Roman" w:cs="Times New Roman"/>
          <w:sz w:val="24"/>
          <w:szCs w:val="24"/>
        </w:rPr>
        <w:t>attēls).</w:t>
      </w:r>
    </w:p>
    <w:p w14:paraId="5054BC5C" w14:textId="39B6D38B" w:rsidR="00F76B06" w:rsidRDefault="00F76B06" w:rsidP="000504F5">
      <w:pPr>
        <w:tabs>
          <w:tab w:val="left" w:pos="1134"/>
        </w:tabs>
        <w:spacing w:before="120" w:after="120" w:line="240" w:lineRule="auto"/>
        <w:jc w:val="center"/>
        <w:rPr>
          <w:rFonts w:ascii="Times New Roman" w:eastAsia="Times New Roman" w:hAnsi="Times New Roman" w:cs="Times New Roman"/>
          <w:color w:val="000000" w:themeColor="text1"/>
          <w:sz w:val="24"/>
          <w:szCs w:val="24"/>
        </w:rPr>
      </w:pPr>
      <w:r>
        <w:rPr>
          <w:noProof/>
          <w:lang w:eastAsia="lv-LV"/>
        </w:rPr>
        <w:lastRenderedPageBreak/>
        <w:drawing>
          <wp:inline distT="0" distB="0" distL="0" distR="0" wp14:anchorId="35DE471A" wp14:editId="07A52A22">
            <wp:extent cx="5770606" cy="3237470"/>
            <wp:effectExtent l="0" t="0" r="1905" b="1270"/>
            <wp:docPr id="7" name="Chart 7">
              <a:extLst xmlns:a="http://schemas.openxmlformats.org/drawingml/2006/main">
                <a:ext uri="{FF2B5EF4-FFF2-40B4-BE49-F238E27FC236}">
                  <a16:creationId xmlns:a16="http://schemas.microsoft.com/office/drawing/2014/main" id="{79C6386C-4D90-7E3B-639F-E776807544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18A01B2" w14:textId="28E506DC" w:rsidR="00F76B06" w:rsidRPr="005842B1" w:rsidRDefault="00F76B06" w:rsidP="00F76B06">
      <w:pPr>
        <w:tabs>
          <w:tab w:val="left" w:pos="1134"/>
        </w:tabs>
        <w:spacing w:after="0" w:line="240" w:lineRule="auto"/>
        <w:ind w:firstLine="706"/>
        <w:jc w:val="both"/>
        <w:rPr>
          <w:rFonts w:ascii="Times New Roman" w:hAnsi="Times New Roman" w:cs="Times New Roman"/>
          <w:iCs/>
          <w:sz w:val="24"/>
          <w:szCs w:val="24"/>
        </w:rPr>
      </w:pPr>
      <w:r w:rsidRPr="00407835">
        <w:rPr>
          <w:rFonts w:ascii="Times New Roman" w:eastAsia="Times New Roman" w:hAnsi="Times New Roman" w:cs="Times New Roman"/>
          <w:iCs/>
          <w:sz w:val="24"/>
          <w:szCs w:val="24"/>
        </w:rPr>
        <w:t>1</w:t>
      </w:r>
      <w:r w:rsidR="00407835" w:rsidRPr="00407835">
        <w:rPr>
          <w:rFonts w:ascii="Times New Roman" w:eastAsia="Times New Roman" w:hAnsi="Times New Roman" w:cs="Times New Roman"/>
          <w:iCs/>
          <w:sz w:val="24"/>
          <w:szCs w:val="24"/>
        </w:rPr>
        <w:t>5</w:t>
      </w:r>
      <w:r w:rsidRPr="00407835">
        <w:rPr>
          <w:rFonts w:ascii="Times New Roman" w:eastAsia="Times New Roman" w:hAnsi="Times New Roman" w:cs="Times New Roman"/>
          <w:iCs/>
          <w:sz w:val="24"/>
          <w:szCs w:val="24"/>
        </w:rPr>
        <w:t>.</w:t>
      </w:r>
      <w:r w:rsidR="00E670E0" w:rsidRPr="00407835">
        <w:rPr>
          <w:rFonts w:ascii="Times New Roman" w:eastAsia="Times New Roman" w:hAnsi="Times New Roman" w:cs="Times New Roman"/>
          <w:iCs/>
          <w:sz w:val="24"/>
          <w:szCs w:val="24"/>
        </w:rPr>
        <w:t> </w:t>
      </w:r>
      <w:r w:rsidRPr="00407835">
        <w:rPr>
          <w:rFonts w:ascii="Times New Roman" w:eastAsia="Times New Roman" w:hAnsi="Times New Roman" w:cs="Times New Roman"/>
          <w:iCs/>
          <w:sz w:val="24"/>
          <w:szCs w:val="24"/>
        </w:rPr>
        <w:t xml:space="preserve">attēls. </w:t>
      </w:r>
      <w:r w:rsidR="00E670E0" w:rsidRPr="00407835">
        <w:rPr>
          <w:rFonts w:ascii="Times New Roman" w:eastAsia="Times New Roman" w:hAnsi="Times New Roman" w:cs="Times New Roman"/>
          <w:iCs/>
          <w:sz w:val="24"/>
          <w:szCs w:val="24"/>
        </w:rPr>
        <w:t xml:space="preserve">Nodokļu apmērs (neieskaitot PVN), ko valsts budžetā samaksājuši </w:t>
      </w:r>
      <w:r w:rsidRPr="00407835">
        <w:rPr>
          <w:rFonts w:ascii="Times New Roman" w:eastAsia="Times New Roman" w:hAnsi="Times New Roman" w:cs="Times New Roman"/>
          <w:iCs/>
          <w:sz w:val="24"/>
          <w:szCs w:val="24"/>
        </w:rPr>
        <w:t>P</w:t>
      </w:r>
      <w:r w:rsidR="00986185" w:rsidRPr="00407835">
        <w:rPr>
          <w:rFonts w:ascii="Times New Roman" w:eastAsia="Times New Roman" w:hAnsi="Times New Roman" w:cs="Times New Roman"/>
          <w:iCs/>
          <w:sz w:val="24"/>
          <w:szCs w:val="24"/>
        </w:rPr>
        <w:t>ievienotās vērtības nodokļa</w:t>
      </w:r>
      <w:r w:rsidRPr="005842B1">
        <w:rPr>
          <w:rFonts w:ascii="Times New Roman" w:eastAsia="Times New Roman" w:hAnsi="Times New Roman" w:cs="Times New Roman"/>
          <w:iCs/>
          <w:sz w:val="24"/>
          <w:szCs w:val="24"/>
        </w:rPr>
        <w:t xml:space="preserve"> likumā noteikto augļu, ogu un dārzeņu audzēt</w:t>
      </w:r>
      <w:r w:rsidR="00986185" w:rsidRPr="005842B1">
        <w:rPr>
          <w:rFonts w:ascii="Times New Roman" w:eastAsia="Times New Roman" w:hAnsi="Times New Roman" w:cs="Times New Roman"/>
          <w:iCs/>
          <w:sz w:val="24"/>
          <w:szCs w:val="24"/>
        </w:rPr>
        <w:t>āj</w:t>
      </w:r>
      <w:r w:rsidR="00E670E0">
        <w:rPr>
          <w:rFonts w:ascii="Times New Roman" w:eastAsia="Times New Roman" w:hAnsi="Times New Roman" w:cs="Times New Roman"/>
          <w:iCs/>
          <w:sz w:val="24"/>
          <w:szCs w:val="24"/>
        </w:rPr>
        <w:t>i</w:t>
      </w:r>
      <w:r w:rsidRPr="005842B1">
        <w:rPr>
          <w:rFonts w:ascii="Times New Roman" w:eastAsia="Times New Roman" w:hAnsi="Times New Roman" w:cs="Times New Roman"/>
          <w:iCs/>
          <w:sz w:val="24"/>
          <w:szCs w:val="24"/>
        </w:rPr>
        <w:t xml:space="preserve">, kuri </w:t>
      </w:r>
      <w:r w:rsidR="00E670E0" w:rsidRPr="005842B1">
        <w:rPr>
          <w:rFonts w:ascii="Times New Roman" w:eastAsia="Times New Roman" w:hAnsi="Times New Roman" w:cs="Times New Roman"/>
          <w:iCs/>
          <w:sz w:val="24"/>
          <w:szCs w:val="24"/>
        </w:rPr>
        <w:t>kaut vienā 2022.</w:t>
      </w:r>
      <w:r w:rsidR="00E670E0">
        <w:rPr>
          <w:rFonts w:ascii="Times New Roman" w:eastAsia="Times New Roman" w:hAnsi="Times New Roman" w:cs="Times New Roman"/>
          <w:iCs/>
          <w:sz w:val="24"/>
          <w:szCs w:val="24"/>
        </w:rPr>
        <w:t> </w:t>
      </w:r>
      <w:r w:rsidR="00E670E0" w:rsidRPr="005842B1">
        <w:rPr>
          <w:rFonts w:ascii="Times New Roman" w:eastAsia="Times New Roman" w:hAnsi="Times New Roman" w:cs="Times New Roman"/>
          <w:iCs/>
          <w:sz w:val="24"/>
          <w:szCs w:val="24"/>
        </w:rPr>
        <w:t xml:space="preserve">gada periodā </w:t>
      </w:r>
      <w:r w:rsidRPr="005842B1">
        <w:rPr>
          <w:rFonts w:ascii="Times New Roman" w:eastAsia="Times New Roman" w:hAnsi="Times New Roman" w:cs="Times New Roman"/>
          <w:iCs/>
          <w:sz w:val="24"/>
          <w:szCs w:val="24"/>
        </w:rPr>
        <w:t>norādījuši ar samazināto 5</w:t>
      </w:r>
      <w:r w:rsidR="00E670E0">
        <w:rPr>
          <w:rFonts w:ascii="Times New Roman" w:eastAsia="Times New Roman" w:hAnsi="Times New Roman" w:cs="Times New Roman"/>
          <w:iCs/>
          <w:sz w:val="24"/>
          <w:szCs w:val="24"/>
        </w:rPr>
        <w:t> </w:t>
      </w:r>
      <w:r w:rsidRPr="005842B1">
        <w:rPr>
          <w:rFonts w:ascii="Times New Roman" w:eastAsia="Times New Roman" w:hAnsi="Times New Roman" w:cs="Times New Roman"/>
          <w:iCs/>
          <w:sz w:val="24"/>
          <w:szCs w:val="24"/>
        </w:rPr>
        <w:t xml:space="preserve">% </w:t>
      </w:r>
      <w:r w:rsidR="00E670E0" w:rsidRPr="005842B1">
        <w:rPr>
          <w:rFonts w:ascii="Times New Roman" w:eastAsia="Times New Roman" w:hAnsi="Times New Roman" w:cs="Times New Roman"/>
          <w:iCs/>
          <w:sz w:val="24"/>
          <w:szCs w:val="24"/>
        </w:rPr>
        <w:t xml:space="preserve">PVN </w:t>
      </w:r>
      <w:r w:rsidRPr="005842B1">
        <w:rPr>
          <w:rFonts w:ascii="Times New Roman" w:eastAsia="Times New Roman" w:hAnsi="Times New Roman" w:cs="Times New Roman"/>
          <w:iCs/>
          <w:sz w:val="24"/>
          <w:szCs w:val="24"/>
        </w:rPr>
        <w:t>likmi apliekamos darījumus</w:t>
      </w:r>
      <w:r w:rsidR="000B4EB1" w:rsidRPr="005842B1">
        <w:rPr>
          <w:rFonts w:ascii="Times New Roman" w:eastAsia="Times New Roman" w:hAnsi="Times New Roman" w:cs="Times New Roman"/>
          <w:iCs/>
          <w:sz w:val="24"/>
          <w:szCs w:val="24"/>
        </w:rPr>
        <w:t>,</w:t>
      </w:r>
      <w:r w:rsidRPr="005842B1">
        <w:rPr>
          <w:rFonts w:ascii="Times New Roman" w:eastAsia="Times New Roman" w:hAnsi="Times New Roman" w:cs="Times New Roman"/>
          <w:iCs/>
          <w:sz w:val="24"/>
          <w:szCs w:val="24"/>
        </w:rPr>
        <w:t xml:space="preserve"> no 2017. līdz 2020. gadam, tūkst. </w:t>
      </w:r>
      <w:proofErr w:type="spellStart"/>
      <w:r w:rsidRPr="005842B1">
        <w:rPr>
          <w:rFonts w:ascii="Times New Roman" w:eastAsia="Times New Roman" w:hAnsi="Times New Roman" w:cs="Times New Roman"/>
          <w:i/>
          <w:sz w:val="24"/>
          <w:szCs w:val="24"/>
        </w:rPr>
        <w:t>euro</w:t>
      </w:r>
      <w:proofErr w:type="spellEnd"/>
    </w:p>
    <w:p w14:paraId="366FF856" w14:textId="77777777" w:rsidR="00F76B06" w:rsidRPr="005842B1" w:rsidRDefault="00F76B06" w:rsidP="00F76B06">
      <w:pPr>
        <w:tabs>
          <w:tab w:val="left" w:pos="1134"/>
        </w:tabs>
        <w:spacing w:after="120" w:line="240" w:lineRule="auto"/>
        <w:ind w:firstLine="709"/>
        <w:jc w:val="both"/>
        <w:rPr>
          <w:rFonts w:ascii="Times New Roman" w:eastAsia="Times New Roman" w:hAnsi="Times New Roman" w:cs="Times New Roman"/>
          <w:sz w:val="20"/>
          <w:szCs w:val="20"/>
        </w:rPr>
      </w:pPr>
      <w:r w:rsidRPr="005842B1">
        <w:rPr>
          <w:rFonts w:ascii="Times New Roman" w:eastAsia="Times New Roman" w:hAnsi="Times New Roman" w:cs="Times New Roman"/>
          <w:i/>
          <w:sz w:val="20"/>
          <w:szCs w:val="20"/>
        </w:rPr>
        <w:t xml:space="preserve">Datu avots: </w:t>
      </w:r>
      <w:r w:rsidRPr="005842B1">
        <w:rPr>
          <w:rFonts w:ascii="Times New Roman" w:eastAsia="Times New Roman" w:hAnsi="Times New Roman" w:cs="Times New Roman"/>
          <w:sz w:val="20"/>
          <w:szCs w:val="20"/>
        </w:rPr>
        <w:t>Zemkopības ministrija pēc VID datiem</w:t>
      </w:r>
    </w:p>
    <w:p w14:paraId="0D35A835" w14:textId="0D7C2374" w:rsidR="00986185" w:rsidRDefault="00F504AC" w:rsidP="00DE0F41">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Laikā no 2018. līdz 2022.</w:t>
      </w:r>
      <w:r w:rsidR="00E670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gadam ir </w:t>
      </w:r>
      <w:r w:rsidR="00E670E0">
        <w:rPr>
          <w:rFonts w:ascii="Times New Roman" w:eastAsia="Times New Roman" w:hAnsi="Times New Roman" w:cs="Times New Roman"/>
          <w:sz w:val="24"/>
          <w:szCs w:val="24"/>
        </w:rPr>
        <w:t>uzlabojusies</w:t>
      </w:r>
      <w:r>
        <w:rPr>
          <w:rFonts w:ascii="Times New Roman" w:eastAsia="Times New Roman" w:hAnsi="Times New Roman" w:cs="Times New Roman"/>
          <w:sz w:val="24"/>
          <w:szCs w:val="24"/>
        </w:rPr>
        <w:t xml:space="preserve"> augļkopības un dārzeņkopības</w:t>
      </w:r>
      <w:r w:rsidR="00DE0F41" w:rsidRPr="005842B1">
        <w:rPr>
          <w:rFonts w:ascii="Times New Roman" w:eastAsia="Times New Roman" w:hAnsi="Times New Roman" w:cs="Times New Roman"/>
          <w:sz w:val="24"/>
          <w:szCs w:val="24"/>
        </w:rPr>
        <w:t xml:space="preserve"> nozar</w:t>
      </w:r>
      <w:r>
        <w:rPr>
          <w:rFonts w:ascii="Times New Roman" w:eastAsia="Times New Roman" w:hAnsi="Times New Roman" w:cs="Times New Roman"/>
          <w:sz w:val="24"/>
          <w:szCs w:val="24"/>
        </w:rPr>
        <w:t>es</w:t>
      </w:r>
      <w:r w:rsidR="00DE0F41" w:rsidRPr="005842B1">
        <w:rPr>
          <w:rFonts w:ascii="Times New Roman" w:eastAsia="Times New Roman" w:hAnsi="Times New Roman" w:cs="Times New Roman"/>
          <w:sz w:val="24"/>
          <w:szCs w:val="24"/>
        </w:rPr>
        <w:t xml:space="preserve"> kopēj</w:t>
      </w:r>
      <w:r>
        <w:rPr>
          <w:rFonts w:ascii="Times New Roman" w:eastAsia="Times New Roman" w:hAnsi="Times New Roman" w:cs="Times New Roman"/>
          <w:sz w:val="24"/>
          <w:szCs w:val="24"/>
        </w:rPr>
        <w:t>ā</w:t>
      </w:r>
      <w:r w:rsidR="00DE0F41" w:rsidRPr="005842B1">
        <w:rPr>
          <w:rFonts w:ascii="Times New Roman" w:eastAsia="Times New Roman" w:hAnsi="Times New Roman" w:cs="Times New Roman"/>
          <w:sz w:val="24"/>
          <w:szCs w:val="24"/>
        </w:rPr>
        <w:t xml:space="preserve"> nodokļu samaks</w:t>
      </w:r>
      <w:r>
        <w:rPr>
          <w:rFonts w:ascii="Times New Roman" w:eastAsia="Times New Roman" w:hAnsi="Times New Roman" w:cs="Times New Roman"/>
          <w:sz w:val="24"/>
          <w:szCs w:val="24"/>
        </w:rPr>
        <w:t>a</w:t>
      </w:r>
      <w:r w:rsidR="00DE0F41" w:rsidRPr="005842B1">
        <w:rPr>
          <w:rFonts w:ascii="Times New Roman" w:eastAsia="Times New Roman" w:hAnsi="Times New Roman" w:cs="Times New Roman"/>
          <w:sz w:val="24"/>
          <w:szCs w:val="24"/>
        </w:rPr>
        <w:t xml:space="preserve"> (1</w:t>
      </w:r>
      <w:r w:rsidR="009332BA">
        <w:rPr>
          <w:rFonts w:ascii="Times New Roman" w:eastAsia="Times New Roman" w:hAnsi="Times New Roman" w:cs="Times New Roman"/>
          <w:sz w:val="24"/>
          <w:szCs w:val="24"/>
        </w:rPr>
        <w:t>5</w:t>
      </w:r>
      <w:r w:rsidR="00DE0F41" w:rsidRPr="005842B1">
        <w:rPr>
          <w:rFonts w:ascii="Times New Roman" w:eastAsia="Times New Roman" w:hAnsi="Times New Roman" w:cs="Times New Roman"/>
          <w:sz w:val="24"/>
          <w:szCs w:val="24"/>
        </w:rPr>
        <w:t>.</w:t>
      </w:r>
      <w:r w:rsidR="00E670E0">
        <w:rPr>
          <w:rFonts w:ascii="Times New Roman" w:eastAsia="Times New Roman" w:hAnsi="Times New Roman" w:cs="Times New Roman"/>
          <w:sz w:val="24"/>
          <w:szCs w:val="24"/>
        </w:rPr>
        <w:t> </w:t>
      </w:r>
      <w:r w:rsidR="00DE0F41" w:rsidRPr="005842B1">
        <w:rPr>
          <w:rFonts w:ascii="Times New Roman" w:eastAsia="Times New Roman" w:hAnsi="Times New Roman" w:cs="Times New Roman"/>
          <w:sz w:val="24"/>
          <w:szCs w:val="24"/>
        </w:rPr>
        <w:t xml:space="preserve">attēls). </w:t>
      </w:r>
      <w:r w:rsidR="0031420B" w:rsidRPr="005842B1">
        <w:rPr>
          <w:rFonts w:ascii="Times New Roman" w:eastAsia="Times New Roman" w:hAnsi="Times New Roman" w:cs="Times New Roman"/>
          <w:iCs/>
          <w:sz w:val="24"/>
          <w:szCs w:val="24"/>
        </w:rPr>
        <w:t>Pievienotās vērtības nodokļa likumā noteikto augļu, ogu un dārzeņu audzētāj</w:t>
      </w:r>
      <w:r w:rsidR="00E670E0">
        <w:rPr>
          <w:rFonts w:ascii="Times New Roman" w:eastAsia="Times New Roman" w:hAnsi="Times New Roman" w:cs="Times New Roman"/>
          <w:iCs/>
          <w:sz w:val="24"/>
          <w:szCs w:val="24"/>
        </w:rPr>
        <w:t>i</w:t>
      </w:r>
      <w:r w:rsidR="0031420B" w:rsidRPr="005842B1">
        <w:rPr>
          <w:rFonts w:ascii="Times New Roman" w:eastAsia="Times New Roman" w:hAnsi="Times New Roman" w:cs="Times New Roman"/>
          <w:iCs/>
          <w:sz w:val="24"/>
          <w:szCs w:val="24"/>
        </w:rPr>
        <w:t xml:space="preserve">, kuri </w:t>
      </w:r>
      <w:r w:rsidR="00E670E0" w:rsidRPr="005842B1">
        <w:rPr>
          <w:rFonts w:ascii="Times New Roman" w:eastAsia="Times New Roman" w:hAnsi="Times New Roman" w:cs="Times New Roman"/>
          <w:iCs/>
          <w:sz w:val="24"/>
          <w:szCs w:val="24"/>
        </w:rPr>
        <w:t>kaut vienā 2022.</w:t>
      </w:r>
      <w:r w:rsidR="00E670E0">
        <w:rPr>
          <w:rFonts w:ascii="Times New Roman" w:eastAsia="Times New Roman" w:hAnsi="Times New Roman" w:cs="Times New Roman"/>
          <w:iCs/>
          <w:sz w:val="24"/>
          <w:szCs w:val="24"/>
        </w:rPr>
        <w:t xml:space="preserve"> </w:t>
      </w:r>
      <w:r w:rsidR="00E670E0" w:rsidRPr="005842B1">
        <w:rPr>
          <w:rFonts w:ascii="Times New Roman" w:eastAsia="Times New Roman" w:hAnsi="Times New Roman" w:cs="Times New Roman"/>
          <w:iCs/>
          <w:sz w:val="24"/>
          <w:szCs w:val="24"/>
        </w:rPr>
        <w:t xml:space="preserve">gada periodā </w:t>
      </w:r>
      <w:r w:rsidR="0031420B" w:rsidRPr="005842B1">
        <w:rPr>
          <w:rFonts w:ascii="Times New Roman" w:eastAsia="Times New Roman" w:hAnsi="Times New Roman" w:cs="Times New Roman"/>
          <w:iCs/>
          <w:sz w:val="24"/>
          <w:szCs w:val="24"/>
        </w:rPr>
        <w:t>norādījuši ar samazināto 5</w:t>
      </w:r>
      <w:r w:rsidR="00E670E0">
        <w:rPr>
          <w:rFonts w:ascii="Times New Roman" w:eastAsia="Times New Roman" w:hAnsi="Times New Roman" w:cs="Times New Roman"/>
          <w:iCs/>
          <w:sz w:val="24"/>
          <w:szCs w:val="24"/>
        </w:rPr>
        <w:t> </w:t>
      </w:r>
      <w:r w:rsidR="0031420B" w:rsidRPr="005842B1">
        <w:rPr>
          <w:rFonts w:ascii="Times New Roman" w:eastAsia="Times New Roman" w:hAnsi="Times New Roman" w:cs="Times New Roman"/>
          <w:iCs/>
          <w:sz w:val="24"/>
          <w:szCs w:val="24"/>
        </w:rPr>
        <w:t xml:space="preserve">% </w:t>
      </w:r>
      <w:r w:rsidR="00E670E0" w:rsidRPr="005842B1">
        <w:rPr>
          <w:rFonts w:ascii="Times New Roman" w:eastAsia="Times New Roman" w:hAnsi="Times New Roman" w:cs="Times New Roman"/>
          <w:iCs/>
          <w:sz w:val="24"/>
          <w:szCs w:val="24"/>
        </w:rPr>
        <w:t xml:space="preserve">PVN </w:t>
      </w:r>
      <w:r w:rsidR="0031420B" w:rsidRPr="005842B1">
        <w:rPr>
          <w:rFonts w:ascii="Times New Roman" w:eastAsia="Times New Roman" w:hAnsi="Times New Roman" w:cs="Times New Roman"/>
          <w:iCs/>
          <w:sz w:val="24"/>
          <w:szCs w:val="24"/>
        </w:rPr>
        <w:t xml:space="preserve">likmi apliekamos darījumus, </w:t>
      </w:r>
      <w:r w:rsidR="00E670E0" w:rsidRPr="005842B1">
        <w:rPr>
          <w:rFonts w:ascii="Times New Roman" w:eastAsia="Times New Roman" w:hAnsi="Times New Roman" w:cs="Times New Roman"/>
          <w:iCs/>
          <w:sz w:val="24"/>
          <w:szCs w:val="24"/>
        </w:rPr>
        <w:t xml:space="preserve">valsts budžetā </w:t>
      </w:r>
      <w:r w:rsidR="0031420B" w:rsidRPr="005842B1">
        <w:rPr>
          <w:rFonts w:ascii="Times New Roman" w:eastAsia="Times New Roman" w:hAnsi="Times New Roman" w:cs="Times New Roman"/>
          <w:iCs/>
          <w:sz w:val="24"/>
          <w:szCs w:val="24"/>
        </w:rPr>
        <w:t>samaksā</w:t>
      </w:r>
      <w:r w:rsidR="00E670E0">
        <w:rPr>
          <w:rFonts w:ascii="Times New Roman" w:eastAsia="Times New Roman" w:hAnsi="Times New Roman" w:cs="Times New Roman"/>
          <w:iCs/>
          <w:sz w:val="24"/>
          <w:szCs w:val="24"/>
        </w:rPr>
        <w:t>juši</w:t>
      </w:r>
      <w:r w:rsidR="0031420B" w:rsidRPr="005842B1">
        <w:rPr>
          <w:rFonts w:ascii="Times New Roman" w:eastAsia="Times New Roman" w:hAnsi="Times New Roman" w:cs="Times New Roman"/>
          <w:iCs/>
          <w:sz w:val="24"/>
          <w:szCs w:val="24"/>
        </w:rPr>
        <w:t xml:space="preserve"> nodokļu</w:t>
      </w:r>
      <w:r w:rsidR="00E670E0">
        <w:rPr>
          <w:rFonts w:ascii="Times New Roman" w:eastAsia="Times New Roman" w:hAnsi="Times New Roman" w:cs="Times New Roman"/>
          <w:iCs/>
          <w:sz w:val="24"/>
          <w:szCs w:val="24"/>
        </w:rPr>
        <w:t>s</w:t>
      </w:r>
      <w:r w:rsidR="0031420B" w:rsidRPr="005842B1">
        <w:rPr>
          <w:rFonts w:ascii="Times New Roman" w:eastAsia="Times New Roman" w:hAnsi="Times New Roman" w:cs="Times New Roman"/>
          <w:iCs/>
          <w:sz w:val="24"/>
          <w:szCs w:val="24"/>
        </w:rPr>
        <w:t xml:space="preserve"> (neieskaitot PVN) apmēr</w:t>
      </w:r>
      <w:r w:rsidR="00E670E0">
        <w:rPr>
          <w:rFonts w:ascii="Times New Roman" w:eastAsia="Times New Roman" w:hAnsi="Times New Roman" w:cs="Times New Roman"/>
          <w:iCs/>
          <w:sz w:val="24"/>
          <w:szCs w:val="24"/>
        </w:rPr>
        <w:t>ā</w:t>
      </w:r>
      <w:r w:rsidR="0031420B" w:rsidRPr="005842B1">
        <w:rPr>
          <w:rFonts w:ascii="Times New Roman" w:eastAsia="Times New Roman" w:hAnsi="Times New Roman" w:cs="Times New Roman"/>
          <w:iCs/>
          <w:sz w:val="24"/>
          <w:szCs w:val="24"/>
        </w:rPr>
        <w:t xml:space="preserve">, </w:t>
      </w:r>
      <w:r w:rsidR="00E670E0">
        <w:rPr>
          <w:rFonts w:ascii="Times New Roman" w:eastAsia="Times New Roman" w:hAnsi="Times New Roman" w:cs="Times New Roman"/>
          <w:iCs/>
          <w:sz w:val="24"/>
          <w:szCs w:val="24"/>
        </w:rPr>
        <w:t xml:space="preserve">kas </w:t>
      </w:r>
      <w:r w:rsidR="0031420B" w:rsidRPr="005842B1">
        <w:rPr>
          <w:rFonts w:ascii="Times New Roman" w:eastAsia="Times New Roman" w:hAnsi="Times New Roman" w:cs="Times New Roman"/>
          <w:sz w:val="24"/>
          <w:szCs w:val="24"/>
        </w:rPr>
        <w:t>no 2018.</w:t>
      </w:r>
      <w:r w:rsidR="008C3978" w:rsidRPr="005842B1">
        <w:rPr>
          <w:rFonts w:ascii="Times New Roman" w:eastAsia="Times New Roman" w:hAnsi="Times New Roman" w:cs="Times New Roman"/>
          <w:sz w:val="24"/>
          <w:szCs w:val="24"/>
        </w:rPr>
        <w:t xml:space="preserve"> līdz 2022.</w:t>
      </w:r>
      <w:r w:rsidR="0017747E">
        <w:rPr>
          <w:rFonts w:ascii="Times New Roman" w:eastAsia="Times New Roman" w:hAnsi="Times New Roman" w:cs="Times New Roman"/>
          <w:sz w:val="24"/>
          <w:szCs w:val="24"/>
        </w:rPr>
        <w:t xml:space="preserve"> </w:t>
      </w:r>
      <w:r w:rsidR="008C3978" w:rsidRPr="005842B1">
        <w:rPr>
          <w:rFonts w:ascii="Times New Roman" w:eastAsia="Times New Roman" w:hAnsi="Times New Roman" w:cs="Times New Roman"/>
          <w:sz w:val="24"/>
          <w:szCs w:val="24"/>
        </w:rPr>
        <w:t>gadam p</w:t>
      </w:r>
      <w:r w:rsidR="0017747E">
        <w:rPr>
          <w:rFonts w:ascii="Times New Roman" w:eastAsia="Times New Roman" w:hAnsi="Times New Roman" w:cs="Times New Roman"/>
          <w:sz w:val="24"/>
          <w:szCs w:val="24"/>
        </w:rPr>
        <w:t>alielinājušies</w:t>
      </w:r>
      <w:r w:rsidR="008C3978" w:rsidRPr="005842B1">
        <w:rPr>
          <w:rFonts w:ascii="Times New Roman" w:eastAsia="Times New Roman" w:hAnsi="Times New Roman" w:cs="Times New Roman"/>
          <w:sz w:val="24"/>
          <w:szCs w:val="24"/>
        </w:rPr>
        <w:t xml:space="preserve"> par </w:t>
      </w:r>
      <w:r w:rsidR="00BC07AE" w:rsidRPr="005842B1">
        <w:rPr>
          <w:rFonts w:ascii="Times New Roman" w:eastAsia="Times New Roman" w:hAnsi="Times New Roman" w:cs="Times New Roman"/>
          <w:sz w:val="24"/>
          <w:szCs w:val="24"/>
        </w:rPr>
        <w:t>8,6 milj.</w:t>
      </w:r>
      <w:r w:rsidR="0017747E">
        <w:rPr>
          <w:rFonts w:ascii="Times New Roman" w:eastAsia="Times New Roman" w:hAnsi="Times New Roman" w:cs="Times New Roman"/>
          <w:sz w:val="24"/>
          <w:szCs w:val="24"/>
        </w:rPr>
        <w:t xml:space="preserve"> </w:t>
      </w:r>
      <w:proofErr w:type="spellStart"/>
      <w:r w:rsidR="00BC07AE" w:rsidRPr="005842B1">
        <w:rPr>
          <w:rFonts w:ascii="Times New Roman" w:eastAsia="Times New Roman" w:hAnsi="Times New Roman" w:cs="Times New Roman"/>
          <w:i/>
          <w:iCs/>
          <w:sz w:val="24"/>
          <w:szCs w:val="24"/>
        </w:rPr>
        <w:t>euro</w:t>
      </w:r>
      <w:proofErr w:type="spellEnd"/>
      <w:r w:rsidR="00BC07AE" w:rsidRPr="005842B1">
        <w:rPr>
          <w:rFonts w:ascii="Times New Roman" w:eastAsia="Times New Roman" w:hAnsi="Times New Roman" w:cs="Times New Roman"/>
          <w:sz w:val="24"/>
          <w:szCs w:val="24"/>
        </w:rPr>
        <w:t xml:space="preserve"> jeb </w:t>
      </w:r>
      <w:r w:rsidR="0096747F" w:rsidRPr="005842B1">
        <w:rPr>
          <w:rFonts w:ascii="Times New Roman" w:eastAsia="Times New Roman" w:hAnsi="Times New Roman" w:cs="Times New Roman"/>
          <w:sz w:val="24"/>
          <w:szCs w:val="24"/>
        </w:rPr>
        <w:t>39</w:t>
      </w:r>
      <w:r w:rsidR="0017747E">
        <w:rPr>
          <w:rFonts w:ascii="Times New Roman" w:eastAsia="Times New Roman" w:hAnsi="Times New Roman" w:cs="Times New Roman"/>
          <w:sz w:val="24"/>
          <w:szCs w:val="24"/>
        </w:rPr>
        <w:t xml:space="preserve"> </w:t>
      </w:r>
      <w:r w:rsidR="00F37619" w:rsidRPr="005842B1">
        <w:rPr>
          <w:rFonts w:ascii="Times New Roman" w:eastAsia="Times New Roman" w:hAnsi="Times New Roman" w:cs="Times New Roman"/>
          <w:sz w:val="24"/>
          <w:szCs w:val="24"/>
        </w:rPr>
        <w:t>%</w:t>
      </w:r>
      <w:r w:rsidR="00A37B35" w:rsidRPr="005842B1">
        <w:rPr>
          <w:rFonts w:ascii="Times New Roman" w:eastAsia="Times New Roman" w:hAnsi="Times New Roman" w:cs="Times New Roman"/>
          <w:sz w:val="24"/>
          <w:szCs w:val="24"/>
        </w:rPr>
        <w:t>.</w:t>
      </w:r>
    </w:p>
    <w:p w14:paraId="66C8CD09" w14:textId="7B68123A" w:rsidR="009A42C6" w:rsidRDefault="00DE0F41" w:rsidP="00791EC6">
      <w:pPr>
        <w:tabs>
          <w:tab w:val="left" w:pos="1134"/>
        </w:tabs>
        <w:spacing w:after="120" w:line="240" w:lineRule="auto"/>
        <w:ind w:firstLine="709"/>
        <w:jc w:val="both"/>
        <w:rPr>
          <w:rFonts w:ascii="Times New Roman" w:eastAsia="Times New Roman" w:hAnsi="Times New Roman" w:cs="Times New Roman"/>
          <w:sz w:val="24"/>
          <w:szCs w:val="24"/>
        </w:rPr>
      </w:pPr>
      <w:r w:rsidRPr="006E0CAC">
        <w:rPr>
          <w:rFonts w:ascii="Times New Roman" w:eastAsia="Times New Roman" w:hAnsi="Times New Roman" w:cs="Times New Roman"/>
          <w:sz w:val="24"/>
          <w:szCs w:val="24"/>
        </w:rPr>
        <w:t xml:space="preserve">Lielākoties tas saistīts ar darbaspēka nodokļu </w:t>
      </w:r>
      <w:r w:rsidR="0017747E">
        <w:rPr>
          <w:rFonts w:ascii="Times New Roman" w:eastAsia="Times New Roman" w:hAnsi="Times New Roman" w:cs="Times New Roman"/>
          <w:sz w:val="24"/>
          <w:szCs w:val="24"/>
        </w:rPr>
        <w:t>kāp</w:t>
      </w:r>
      <w:r w:rsidRPr="006E0CAC">
        <w:rPr>
          <w:rFonts w:ascii="Times New Roman" w:eastAsia="Times New Roman" w:hAnsi="Times New Roman" w:cs="Times New Roman"/>
          <w:sz w:val="24"/>
          <w:szCs w:val="24"/>
        </w:rPr>
        <w:t>umu, kas nozarē veido vislielāko nodokļa slogu</w:t>
      </w:r>
      <w:r w:rsidR="0017747E">
        <w:rPr>
          <w:rFonts w:ascii="Times New Roman" w:eastAsia="Times New Roman" w:hAnsi="Times New Roman" w:cs="Times New Roman"/>
          <w:sz w:val="24"/>
          <w:szCs w:val="24"/>
        </w:rPr>
        <w:t>:</w:t>
      </w:r>
      <w:r w:rsidRPr="006E0CAC">
        <w:rPr>
          <w:rFonts w:ascii="Times New Roman" w:eastAsia="Times New Roman" w:hAnsi="Times New Roman" w:cs="Times New Roman"/>
          <w:sz w:val="24"/>
          <w:szCs w:val="24"/>
        </w:rPr>
        <w:t xml:space="preserve"> 20</w:t>
      </w:r>
      <w:r w:rsidR="00BB20FA">
        <w:rPr>
          <w:rFonts w:ascii="Times New Roman" w:eastAsia="Times New Roman" w:hAnsi="Times New Roman" w:cs="Times New Roman"/>
          <w:sz w:val="24"/>
          <w:szCs w:val="24"/>
        </w:rPr>
        <w:t>20</w:t>
      </w:r>
      <w:r w:rsidRPr="006E0CAC">
        <w:rPr>
          <w:rFonts w:ascii="Times New Roman" w:eastAsia="Times New Roman" w:hAnsi="Times New Roman" w:cs="Times New Roman"/>
          <w:sz w:val="24"/>
          <w:szCs w:val="24"/>
        </w:rPr>
        <w:t>.</w:t>
      </w:r>
      <w:r w:rsidR="0017747E">
        <w:rPr>
          <w:rFonts w:ascii="Times New Roman" w:eastAsia="Times New Roman" w:hAnsi="Times New Roman" w:cs="Times New Roman"/>
          <w:sz w:val="24"/>
          <w:szCs w:val="24"/>
        </w:rPr>
        <w:t xml:space="preserve"> </w:t>
      </w:r>
      <w:r w:rsidRPr="006E0CAC">
        <w:rPr>
          <w:rFonts w:ascii="Times New Roman" w:eastAsia="Times New Roman" w:hAnsi="Times New Roman" w:cs="Times New Roman"/>
          <w:sz w:val="24"/>
          <w:szCs w:val="24"/>
        </w:rPr>
        <w:t>gadā 9</w:t>
      </w:r>
      <w:r w:rsidR="00BB20FA">
        <w:rPr>
          <w:rFonts w:ascii="Times New Roman" w:eastAsia="Times New Roman" w:hAnsi="Times New Roman" w:cs="Times New Roman"/>
          <w:sz w:val="24"/>
          <w:szCs w:val="24"/>
        </w:rPr>
        <w:t>9</w:t>
      </w:r>
      <w:r w:rsidR="0017747E">
        <w:rPr>
          <w:rFonts w:ascii="Times New Roman" w:eastAsia="Times New Roman" w:hAnsi="Times New Roman" w:cs="Times New Roman"/>
          <w:sz w:val="24"/>
          <w:szCs w:val="24"/>
        </w:rPr>
        <w:t xml:space="preserve"> </w:t>
      </w:r>
      <w:r w:rsidRPr="006E0CAC">
        <w:rPr>
          <w:rFonts w:ascii="Times New Roman" w:eastAsia="Times New Roman" w:hAnsi="Times New Roman" w:cs="Times New Roman"/>
          <w:sz w:val="24"/>
          <w:szCs w:val="24"/>
        </w:rPr>
        <w:t>% no kopējā nodokļu sloga veidoja tieši darbaspēka nodokļi</w:t>
      </w:r>
      <w:r w:rsidR="0017747E">
        <w:rPr>
          <w:rFonts w:ascii="Times New Roman" w:eastAsia="Times New Roman" w:hAnsi="Times New Roman" w:cs="Times New Roman"/>
          <w:sz w:val="24"/>
          <w:szCs w:val="24"/>
        </w:rPr>
        <w:t> –</w:t>
      </w:r>
      <w:r w:rsidRPr="006E0CAC">
        <w:rPr>
          <w:rFonts w:ascii="Times New Roman" w:eastAsia="Times New Roman" w:hAnsi="Times New Roman" w:cs="Times New Roman"/>
          <w:sz w:val="24"/>
          <w:szCs w:val="24"/>
        </w:rPr>
        <w:t xml:space="preserve"> iedzīvotāju ienākuma nodoklis un valsts sociālās apdrošināšanas obligātās iemaksas.</w:t>
      </w:r>
    </w:p>
    <w:p w14:paraId="7FD4E7D3" w14:textId="0295DAE2" w:rsidR="009332BA" w:rsidRPr="009332BA" w:rsidRDefault="009332BA" w:rsidP="009332BA">
      <w:pPr>
        <w:tabs>
          <w:tab w:val="left" w:pos="1134"/>
        </w:tabs>
        <w:spacing w:after="120" w:line="240" w:lineRule="auto"/>
        <w:ind w:firstLine="709"/>
        <w:jc w:val="right"/>
        <w:rPr>
          <w:rFonts w:ascii="Times New Roman" w:eastAsia="Times New Roman" w:hAnsi="Times New Roman" w:cs="Times New Roman"/>
          <w:b/>
          <w:bCs/>
          <w:sz w:val="24"/>
          <w:szCs w:val="24"/>
        </w:rPr>
      </w:pPr>
      <w:r w:rsidRPr="009332BA">
        <w:rPr>
          <w:rFonts w:ascii="Times New Roman" w:eastAsia="Times New Roman" w:hAnsi="Times New Roman" w:cs="Times New Roman"/>
          <w:b/>
          <w:bCs/>
          <w:sz w:val="24"/>
          <w:szCs w:val="24"/>
        </w:rPr>
        <w:t>5.tabula</w:t>
      </w:r>
    </w:p>
    <w:tbl>
      <w:tblPr>
        <w:tblStyle w:val="TableGrid"/>
        <w:tblW w:w="0" w:type="auto"/>
        <w:jc w:val="center"/>
        <w:tblLook w:val="04A0" w:firstRow="1" w:lastRow="0" w:firstColumn="1" w:lastColumn="0" w:noHBand="0" w:noVBand="1"/>
      </w:tblPr>
      <w:tblGrid>
        <w:gridCol w:w="3256"/>
        <w:gridCol w:w="5805"/>
      </w:tblGrid>
      <w:tr w:rsidR="009A42C6" w14:paraId="01394AB6" w14:textId="77777777" w:rsidTr="007C1FEA">
        <w:trPr>
          <w:jc w:val="center"/>
        </w:trPr>
        <w:tc>
          <w:tcPr>
            <w:tcW w:w="9061" w:type="dxa"/>
            <w:gridSpan w:val="2"/>
          </w:tcPr>
          <w:p w14:paraId="088213AB" w14:textId="6F62DFFE" w:rsidR="009A42C6" w:rsidRPr="009A6EC4" w:rsidRDefault="005C7E97" w:rsidP="007C1FEA">
            <w:pPr>
              <w:tabs>
                <w:tab w:val="left" w:pos="1134"/>
              </w:tabs>
              <w:spacing w:after="120"/>
              <w:jc w:val="both"/>
              <w:rPr>
                <w:rFonts w:ascii="Times New Roman" w:eastAsia="Times New Roman" w:hAnsi="Times New Roman" w:cs="Times New Roman"/>
                <w:b/>
                <w:sz w:val="24"/>
                <w:szCs w:val="24"/>
              </w:rPr>
            </w:pPr>
            <w:r w:rsidRPr="00791EC6">
              <w:rPr>
                <w:rFonts w:ascii="Times New Roman" w:eastAsia="Times New Roman" w:hAnsi="Times New Roman" w:cs="Times New Roman"/>
                <w:b/>
                <w:sz w:val="24"/>
                <w:szCs w:val="24"/>
              </w:rPr>
              <w:t>Augļkopības un dārzeņkopības nozaru attīstības rādītāji</w:t>
            </w:r>
          </w:p>
        </w:tc>
      </w:tr>
      <w:tr w:rsidR="009A42C6" w:rsidRPr="0084392F" w14:paraId="2F78B8AB" w14:textId="77777777" w:rsidTr="007C1FEA">
        <w:trPr>
          <w:trHeight w:val="888"/>
          <w:jc w:val="center"/>
        </w:trPr>
        <w:tc>
          <w:tcPr>
            <w:tcW w:w="3256" w:type="dxa"/>
          </w:tcPr>
          <w:p w14:paraId="310ED121" w14:textId="10239A5C" w:rsidR="009A42C6" w:rsidRPr="0084392F" w:rsidRDefault="009A42C6" w:rsidP="007C1FEA">
            <w:pPr>
              <w:tabs>
                <w:tab w:val="left" w:pos="1134"/>
              </w:tabs>
              <w:jc w:val="both"/>
              <w:rPr>
                <w:rFonts w:ascii="Times New Roman" w:eastAsia="Times New Roman" w:hAnsi="Times New Roman" w:cs="Times New Roman"/>
                <w:bCs/>
                <w:sz w:val="24"/>
                <w:szCs w:val="24"/>
              </w:rPr>
            </w:pPr>
            <w:r w:rsidRPr="0084392F">
              <w:rPr>
                <w:rFonts w:ascii="Times New Roman" w:eastAsia="Times New Roman" w:hAnsi="Times New Roman" w:cs="Times New Roman"/>
                <w:sz w:val="24"/>
                <w:szCs w:val="24"/>
              </w:rPr>
              <w:t>Augļkopības un dārzeņkopības platības</w:t>
            </w:r>
            <w:r w:rsidR="00092A49">
              <w:rPr>
                <w:rFonts w:ascii="Times New Roman" w:eastAsia="Times New Roman" w:hAnsi="Times New Roman" w:cs="Times New Roman"/>
                <w:sz w:val="24"/>
                <w:szCs w:val="24"/>
              </w:rPr>
              <w:t xml:space="preserve"> </w:t>
            </w:r>
            <w:r w:rsidR="00092A49">
              <w:rPr>
                <w:rFonts w:ascii="Times New Roman" w:eastAsia="Times New Roman" w:hAnsi="Times New Roman" w:cs="Times New Roman"/>
                <w:bCs/>
                <w:sz w:val="24"/>
                <w:szCs w:val="24"/>
              </w:rPr>
              <w:t>no 2017. līdz 2022. gadam</w:t>
            </w:r>
          </w:p>
        </w:tc>
        <w:tc>
          <w:tcPr>
            <w:tcW w:w="5805" w:type="dxa"/>
          </w:tcPr>
          <w:p w14:paraId="7755BE76" w14:textId="1F0B7081" w:rsidR="009A42C6" w:rsidRPr="00C51068" w:rsidRDefault="009A42C6" w:rsidP="00C51068">
            <w:pPr>
              <w:pStyle w:val="ListParagraph"/>
              <w:numPr>
                <w:ilvl w:val="0"/>
                <w:numId w:val="42"/>
              </w:numPr>
              <w:tabs>
                <w:tab w:val="left" w:pos="1134"/>
              </w:tabs>
              <w:jc w:val="both"/>
              <w:rPr>
                <w:rFonts w:ascii="Times New Roman" w:eastAsia="Times New Roman" w:hAnsi="Times New Roman" w:cs="Times New Roman"/>
                <w:bCs/>
                <w:sz w:val="24"/>
                <w:szCs w:val="24"/>
              </w:rPr>
            </w:pPr>
            <w:r w:rsidRPr="00C51068">
              <w:rPr>
                <w:rFonts w:ascii="Times New Roman" w:eastAsia="Times New Roman" w:hAnsi="Times New Roman" w:cs="Times New Roman"/>
                <w:sz w:val="24"/>
                <w:szCs w:val="24"/>
              </w:rPr>
              <w:t xml:space="preserve">Augļkopības un dārzeņkopības platības ir palielinājušās par </w:t>
            </w:r>
            <w:r w:rsidR="00C51068">
              <w:rPr>
                <w:rFonts w:ascii="Times New Roman" w:hAnsi="Times New Roman" w:cs="Times New Roman"/>
                <w:sz w:val="24"/>
                <w:szCs w:val="24"/>
              </w:rPr>
              <w:t>5</w:t>
            </w:r>
            <w:r w:rsidR="00C34EE1" w:rsidRPr="00C51068">
              <w:rPr>
                <w:rFonts w:ascii="Times New Roman" w:hAnsi="Times New Roman" w:cs="Times New Roman"/>
                <w:sz w:val="24"/>
                <w:szCs w:val="24"/>
              </w:rPr>
              <w:t>%</w:t>
            </w:r>
          </w:p>
        </w:tc>
      </w:tr>
      <w:tr w:rsidR="009A42C6" w14:paraId="0F6F1250" w14:textId="77777777" w:rsidTr="007C1FEA">
        <w:trPr>
          <w:jc w:val="center"/>
        </w:trPr>
        <w:tc>
          <w:tcPr>
            <w:tcW w:w="3256" w:type="dxa"/>
          </w:tcPr>
          <w:p w14:paraId="45513F14" w14:textId="12BEE61F" w:rsidR="009A42C6" w:rsidRPr="00904582" w:rsidRDefault="00416A2B" w:rsidP="007C1FEA">
            <w:pPr>
              <w:pStyle w:val="ListParagraph"/>
              <w:tabs>
                <w:tab w:val="left" w:pos="1134"/>
              </w:tabs>
              <w:spacing w:before="120" w:after="120"/>
              <w:ind w:left="0"/>
              <w:contextualSpacing w:val="0"/>
              <w:jc w:val="both"/>
              <w:rPr>
                <w:rFonts w:ascii="Times New Roman" w:eastAsia="Times New Roman" w:hAnsi="Times New Roman" w:cs="Times New Roman"/>
                <w:sz w:val="24"/>
                <w:szCs w:val="24"/>
              </w:rPr>
            </w:pPr>
            <w:r w:rsidRPr="0087769D">
              <w:rPr>
                <w:rFonts w:ascii="Times New Roman" w:hAnsi="Times New Roman" w:cs="Times New Roman"/>
                <w:sz w:val="24"/>
                <w:szCs w:val="24"/>
              </w:rPr>
              <w:t>Augļkopības un dārzeņkopības saražotās produkcijas vērtība</w:t>
            </w:r>
            <w:r w:rsidR="00092A49">
              <w:rPr>
                <w:rFonts w:ascii="Times New Roman" w:hAnsi="Times New Roman" w:cs="Times New Roman"/>
                <w:sz w:val="24"/>
                <w:szCs w:val="24"/>
              </w:rPr>
              <w:t xml:space="preserve"> </w:t>
            </w:r>
            <w:r w:rsidR="00092A49">
              <w:rPr>
                <w:rFonts w:ascii="Times New Roman" w:eastAsia="Times New Roman" w:hAnsi="Times New Roman" w:cs="Times New Roman"/>
                <w:bCs/>
                <w:sz w:val="24"/>
                <w:szCs w:val="24"/>
              </w:rPr>
              <w:t>no 2017. līdz 2022. gadam</w:t>
            </w:r>
          </w:p>
        </w:tc>
        <w:tc>
          <w:tcPr>
            <w:tcW w:w="5805" w:type="dxa"/>
          </w:tcPr>
          <w:p w14:paraId="336A4894" w14:textId="3C8ADE98" w:rsidR="009A42C6" w:rsidRPr="00C51068" w:rsidRDefault="00416A2B" w:rsidP="00C51068">
            <w:pPr>
              <w:pStyle w:val="ListParagraph"/>
              <w:numPr>
                <w:ilvl w:val="0"/>
                <w:numId w:val="42"/>
              </w:numPr>
              <w:tabs>
                <w:tab w:val="left" w:pos="1134"/>
              </w:tabs>
              <w:jc w:val="both"/>
            </w:pPr>
            <w:r w:rsidRPr="0087769D">
              <w:rPr>
                <w:rFonts w:ascii="Times New Roman" w:hAnsi="Times New Roman" w:cs="Times New Roman"/>
                <w:sz w:val="24"/>
                <w:szCs w:val="24"/>
              </w:rPr>
              <w:t xml:space="preserve">Augļkopības un dārzeņkopības saražotās produkcijas vērtība ir palielinājusies </w:t>
            </w:r>
            <w:r>
              <w:rPr>
                <w:rFonts w:ascii="Times New Roman" w:hAnsi="Times New Roman" w:cs="Times New Roman"/>
                <w:sz w:val="24"/>
                <w:szCs w:val="24"/>
              </w:rPr>
              <w:t>par</w:t>
            </w:r>
            <w:r w:rsidRPr="005D25DC">
              <w:rPr>
                <w:rFonts w:ascii="Times New Roman" w:hAnsi="Times New Roman" w:cs="Times New Roman"/>
                <w:sz w:val="24"/>
                <w:szCs w:val="24"/>
              </w:rPr>
              <w:t xml:space="preserve"> 46%</w:t>
            </w:r>
          </w:p>
        </w:tc>
      </w:tr>
      <w:tr w:rsidR="009A42C6" w14:paraId="77BCC258" w14:textId="77777777" w:rsidTr="007C1FEA">
        <w:trPr>
          <w:jc w:val="center"/>
        </w:trPr>
        <w:tc>
          <w:tcPr>
            <w:tcW w:w="3256" w:type="dxa"/>
          </w:tcPr>
          <w:p w14:paraId="331E318C" w14:textId="5C3D0A8A" w:rsidR="009A42C6" w:rsidRPr="00904582" w:rsidRDefault="001C5379" w:rsidP="007C1FEA">
            <w:pPr>
              <w:pStyle w:val="ListParagraph"/>
              <w:tabs>
                <w:tab w:val="left" w:pos="1134"/>
              </w:tabs>
              <w:spacing w:before="120" w:after="120"/>
              <w:ind w:left="0"/>
              <w:contextualSpacing w:val="0"/>
              <w:jc w:val="both"/>
              <w:rPr>
                <w:rFonts w:ascii="Times New Roman" w:eastAsia="Times New Roman" w:hAnsi="Times New Roman" w:cs="Times New Roman"/>
                <w:sz w:val="24"/>
                <w:szCs w:val="24"/>
              </w:rPr>
            </w:pPr>
            <w:r>
              <w:rPr>
                <w:rFonts w:ascii="Times New Roman" w:hAnsi="Times New Roman" w:cs="Times New Roman"/>
                <w:sz w:val="24"/>
                <w:szCs w:val="24"/>
              </w:rPr>
              <w:t>A</w:t>
            </w:r>
            <w:r w:rsidRPr="0087769D">
              <w:rPr>
                <w:rFonts w:ascii="Times New Roman" w:hAnsi="Times New Roman" w:cs="Times New Roman"/>
                <w:sz w:val="24"/>
                <w:szCs w:val="24"/>
              </w:rPr>
              <w:t>ugļu, ogu un dārzeņu (tostarp kartupeļu) eksporta vērtība</w:t>
            </w:r>
            <w:r w:rsidR="00092A49">
              <w:rPr>
                <w:rFonts w:ascii="Times New Roman" w:hAnsi="Times New Roman" w:cs="Times New Roman"/>
                <w:sz w:val="24"/>
                <w:szCs w:val="24"/>
              </w:rPr>
              <w:t xml:space="preserve"> </w:t>
            </w:r>
            <w:r w:rsidR="00092A49">
              <w:rPr>
                <w:rFonts w:ascii="Times New Roman" w:eastAsia="Times New Roman" w:hAnsi="Times New Roman" w:cs="Times New Roman"/>
                <w:bCs/>
                <w:sz w:val="24"/>
                <w:szCs w:val="24"/>
              </w:rPr>
              <w:t>no 2017. līdz 2022. gadam</w:t>
            </w:r>
          </w:p>
        </w:tc>
        <w:tc>
          <w:tcPr>
            <w:tcW w:w="5805" w:type="dxa"/>
          </w:tcPr>
          <w:p w14:paraId="285FA153" w14:textId="131AEBB5" w:rsidR="009A42C6" w:rsidRPr="003B6497" w:rsidRDefault="001C5379" w:rsidP="003B6497">
            <w:pPr>
              <w:pStyle w:val="ListParagraph"/>
              <w:numPr>
                <w:ilvl w:val="0"/>
                <w:numId w:val="42"/>
              </w:numPr>
              <w:tabs>
                <w:tab w:val="left" w:pos="1134"/>
              </w:tabs>
              <w:jc w:val="both"/>
              <w:rPr>
                <w:rFonts w:ascii="Times New Roman" w:eastAsia="Times New Roman" w:hAnsi="Times New Roman" w:cs="Times New Roman"/>
                <w:bCs/>
                <w:sz w:val="24"/>
                <w:szCs w:val="24"/>
              </w:rPr>
            </w:pPr>
            <w:r w:rsidRPr="003B6497">
              <w:rPr>
                <w:rFonts w:ascii="Times New Roman" w:hAnsi="Times New Roman" w:cs="Times New Roman"/>
                <w:sz w:val="24"/>
                <w:szCs w:val="24"/>
              </w:rPr>
              <w:t>Augļu, ogu un dārzeņu (tostarp kartupeļu) eksporta vērtības pieaugums ir 77,2 %</w:t>
            </w:r>
          </w:p>
        </w:tc>
      </w:tr>
      <w:tr w:rsidR="009A42C6" w14:paraId="166D2142" w14:textId="77777777" w:rsidTr="007C1FEA">
        <w:trPr>
          <w:jc w:val="center"/>
        </w:trPr>
        <w:tc>
          <w:tcPr>
            <w:tcW w:w="3256" w:type="dxa"/>
          </w:tcPr>
          <w:p w14:paraId="1F7897F7" w14:textId="7468BDAC" w:rsidR="009A42C6" w:rsidRPr="00827749" w:rsidRDefault="009D3D0E" w:rsidP="007C1FEA">
            <w:pPr>
              <w:tabs>
                <w:tab w:val="left" w:pos="1134"/>
              </w:tabs>
              <w:spacing w:before="120" w:after="120"/>
              <w:jc w:val="both"/>
              <w:rPr>
                <w:rFonts w:ascii="Times New Roman" w:eastAsia="Times New Roman" w:hAnsi="Times New Roman" w:cs="Times New Roman"/>
                <w:sz w:val="24"/>
                <w:szCs w:val="24"/>
              </w:rPr>
            </w:pPr>
            <w:r>
              <w:rPr>
                <w:rFonts w:ascii="Times New Roman" w:hAnsi="Times New Roman" w:cs="Times New Roman"/>
                <w:sz w:val="24"/>
                <w:szCs w:val="24"/>
              </w:rPr>
              <w:t>A</w:t>
            </w:r>
            <w:r w:rsidRPr="0087769D">
              <w:rPr>
                <w:rFonts w:ascii="Times New Roman" w:hAnsi="Times New Roman" w:cs="Times New Roman"/>
                <w:sz w:val="24"/>
                <w:szCs w:val="24"/>
              </w:rPr>
              <w:t xml:space="preserve">ugļu, ogu un dārzeņu (tostarp kartupeļu) </w:t>
            </w:r>
            <w:r>
              <w:rPr>
                <w:rFonts w:ascii="Times New Roman" w:hAnsi="Times New Roman" w:cs="Times New Roman"/>
                <w:sz w:val="24"/>
                <w:szCs w:val="24"/>
              </w:rPr>
              <w:t xml:space="preserve">importa </w:t>
            </w:r>
            <w:r w:rsidRPr="0087769D">
              <w:rPr>
                <w:rFonts w:ascii="Times New Roman" w:hAnsi="Times New Roman" w:cs="Times New Roman"/>
                <w:sz w:val="24"/>
                <w:szCs w:val="24"/>
              </w:rPr>
              <w:t>vērtība</w:t>
            </w:r>
            <w:r w:rsidR="00092A49">
              <w:rPr>
                <w:rFonts w:ascii="Times New Roman" w:eastAsia="Times New Roman" w:hAnsi="Times New Roman" w:cs="Times New Roman"/>
                <w:bCs/>
                <w:sz w:val="24"/>
                <w:szCs w:val="24"/>
              </w:rPr>
              <w:t xml:space="preserve"> no 2017. līdz 2022. gadam</w:t>
            </w:r>
          </w:p>
        </w:tc>
        <w:tc>
          <w:tcPr>
            <w:tcW w:w="5805" w:type="dxa"/>
          </w:tcPr>
          <w:p w14:paraId="0F2841B3" w14:textId="4B2E7EB3" w:rsidR="009A42C6" w:rsidRPr="009F5D32" w:rsidRDefault="009D3D0E" w:rsidP="007126B9">
            <w:pPr>
              <w:pStyle w:val="ListParagraph"/>
              <w:numPr>
                <w:ilvl w:val="0"/>
                <w:numId w:val="42"/>
              </w:numPr>
              <w:tabs>
                <w:tab w:val="left" w:pos="746"/>
              </w:tabs>
              <w:jc w:val="both"/>
              <w:rPr>
                <w:rFonts w:eastAsia="Times New Roman"/>
                <w:b/>
              </w:rPr>
            </w:pPr>
            <w:r>
              <w:rPr>
                <w:rFonts w:ascii="Times New Roman" w:hAnsi="Times New Roman" w:cs="Times New Roman"/>
                <w:sz w:val="24"/>
                <w:szCs w:val="24"/>
              </w:rPr>
              <w:t>A</w:t>
            </w:r>
            <w:r w:rsidRPr="0087769D">
              <w:rPr>
                <w:rFonts w:ascii="Times New Roman" w:hAnsi="Times New Roman" w:cs="Times New Roman"/>
                <w:sz w:val="24"/>
                <w:szCs w:val="24"/>
              </w:rPr>
              <w:t xml:space="preserve">ugļu, ogu un dārzeņu (tostarp kartupeļu) importa vērtība </w:t>
            </w:r>
            <w:r w:rsidRPr="009F5D32">
              <w:rPr>
                <w:rFonts w:ascii="Times New Roman" w:hAnsi="Times New Roman" w:cs="Times New Roman"/>
                <w:sz w:val="24"/>
                <w:szCs w:val="24"/>
              </w:rPr>
              <w:t xml:space="preserve">pieaugusi par </w:t>
            </w:r>
            <w:r w:rsidRPr="000E7A71">
              <w:rPr>
                <w:rFonts w:ascii="Times New Roman" w:hAnsi="Times New Roman" w:cs="Times New Roman"/>
                <w:sz w:val="24"/>
                <w:szCs w:val="24"/>
              </w:rPr>
              <w:t>74,7</w:t>
            </w:r>
            <w:r w:rsidR="0017747E" w:rsidRPr="000E7A71">
              <w:rPr>
                <w:rFonts w:ascii="Times New Roman" w:hAnsi="Times New Roman" w:cs="Times New Roman"/>
                <w:sz w:val="24"/>
                <w:szCs w:val="24"/>
              </w:rPr>
              <w:t xml:space="preserve"> </w:t>
            </w:r>
            <w:r w:rsidRPr="000E7A71">
              <w:rPr>
                <w:rFonts w:ascii="Times New Roman" w:hAnsi="Times New Roman" w:cs="Times New Roman"/>
                <w:sz w:val="24"/>
                <w:szCs w:val="24"/>
              </w:rPr>
              <w:t>%</w:t>
            </w:r>
          </w:p>
        </w:tc>
      </w:tr>
      <w:tr w:rsidR="00F967D6" w14:paraId="445D64B2" w14:textId="77777777" w:rsidTr="007C1FEA">
        <w:trPr>
          <w:jc w:val="center"/>
        </w:trPr>
        <w:tc>
          <w:tcPr>
            <w:tcW w:w="3256" w:type="dxa"/>
          </w:tcPr>
          <w:p w14:paraId="669331CF" w14:textId="71DA5672" w:rsidR="00F967D6" w:rsidRDefault="00AD29B6" w:rsidP="007C1FEA">
            <w:pPr>
              <w:tabs>
                <w:tab w:val="left" w:pos="1134"/>
              </w:tabs>
              <w:spacing w:before="120" w:after="120"/>
              <w:jc w:val="both"/>
              <w:rPr>
                <w:rFonts w:ascii="Times New Roman" w:hAnsi="Times New Roman" w:cs="Times New Roman"/>
                <w:sz w:val="24"/>
                <w:szCs w:val="24"/>
              </w:rPr>
            </w:pPr>
            <w:r w:rsidRPr="00FB666A">
              <w:rPr>
                <w:rFonts w:ascii="Times New Roman" w:hAnsi="Times New Roman" w:cs="Times New Roman"/>
                <w:sz w:val="24"/>
                <w:szCs w:val="24"/>
              </w:rPr>
              <w:lastRenderedPageBreak/>
              <w:t xml:space="preserve">Augļu un ogu izlaides vērtības </w:t>
            </w:r>
            <w:r w:rsidR="0017747E">
              <w:rPr>
                <w:rFonts w:ascii="Times New Roman" w:hAnsi="Times New Roman" w:cs="Times New Roman"/>
                <w:sz w:val="24"/>
                <w:szCs w:val="24"/>
              </w:rPr>
              <w:t>pār</w:t>
            </w:r>
            <w:r w:rsidRPr="00FB666A">
              <w:rPr>
                <w:rFonts w:ascii="Times New Roman" w:hAnsi="Times New Roman" w:cs="Times New Roman"/>
                <w:sz w:val="24"/>
                <w:szCs w:val="24"/>
              </w:rPr>
              <w:t>maiņas</w:t>
            </w:r>
            <w:r>
              <w:rPr>
                <w:rFonts w:ascii="Times New Roman" w:hAnsi="Times New Roman" w:cs="Times New Roman"/>
                <w:sz w:val="24"/>
                <w:szCs w:val="24"/>
              </w:rPr>
              <w:t xml:space="preserve"> Latvijā </w:t>
            </w:r>
            <w:r w:rsidR="00A32FE6">
              <w:rPr>
                <w:rFonts w:ascii="Times New Roman" w:hAnsi="Times New Roman" w:cs="Times New Roman"/>
                <w:sz w:val="24"/>
                <w:szCs w:val="24"/>
              </w:rPr>
              <w:t>un</w:t>
            </w:r>
            <w:r w:rsidRPr="00FB666A">
              <w:rPr>
                <w:rFonts w:ascii="Times New Roman" w:hAnsi="Times New Roman" w:cs="Times New Roman"/>
                <w:sz w:val="24"/>
                <w:szCs w:val="24"/>
              </w:rPr>
              <w:t xml:space="preserve"> Eiropas Savienības dalībvalstī</w:t>
            </w:r>
            <w:r w:rsidR="00A32FE6">
              <w:rPr>
                <w:rFonts w:ascii="Times New Roman" w:hAnsi="Times New Roman" w:cs="Times New Roman"/>
                <w:sz w:val="24"/>
                <w:szCs w:val="24"/>
              </w:rPr>
              <w:t>s</w:t>
            </w:r>
            <w:r w:rsidR="00092A49">
              <w:rPr>
                <w:rFonts w:ascii="Times New Roman" w:hAnsi="Times New Roman" w:cs="Times New Roman"/>
                <w:sz w:val="24"/>
                <w:szCs w:val="24"/>
              </w:rPr>
              <w:t xml:space="preserve"> </w:t>
            </w:r>
            <w:r w:rsidR="00092A49">
              <w:rPr>
                <w:rFonts w:ascii="Times New Roman" w:eastAsia="Times New Roman" w:hAnsi="Times New Roman" w:cs="Times New Roman"/>
                <w:bCs/>
                <w:sz w:val="24"/>
                <w:szCs w:val="24"/>
              </w:rPr>
              <w:t>no 2017. līdz 2022. gadam</w:t>
            </w:r>
          </w:p>
        </w:tc>
        <w:tc>
          <w:tcPr>
            <w:tcW w:w="5805" w:type="dxa"/>
          </w:tcPr>
          <w:p w14:paraId="37EAC391" w14:textId="3A09FBEB" w:rsidR="002F003A" w:rsidRPr="00791EC6" w:rsidRDefault="005609F5" w:rsidP="00791EC6">
            <w:pPr>
              <w:pStyle w:val="ListParagraph"/>
              <w:numPr>
                <w:ilvl w:val="0"/>
                <w:numId w:val="42"/>
              </w:numPr>
              <w:tabs>
                <w:tab w:val="left" w:pos="746"/>
              </w:tabs>
              <w:jc w:val="both"/>
              <w:rPr>
                <w:rFonts w:ascii="Times New Roman" w:hAnsi="Times New Roman" w:cs="Times New Roman"/>
                <w:sz w:val="24"/>
                <w:szCs w:val="24"/>
              </w:rPr>
            </w:pPr>
            <w:r w:rsidRPr="00E963C5">
              <w:rPr>
                <w:rFonts w:ascii="Times New Roman" w:hAnsi="Times New Roman" w:cs="Times New Roman"/>
                <w:iCs/>
                <w:sz w:val="24"/>
                <w:szCs w:val="24"/>
              </w:rPr>
              <w:t>Latvija</w:t>
            </w:r>
            <w:r w:rsidR="00FA2ABA">
              <w:rPr>
                <w:rFonts w:ascii="Times New Roman" w:hAnsi="Times New Roman" w:cs="Times New Roman"/>
                <w:iCs/>
                <w:sz w:val="24"/>
                <w:szCs w:val="24"/>
              </w:rPr>
              <w:t>s augļu, ogu, dārzeņu un kartupeļu izlaides</w:t>
            </w:r>
            <w:r w:rsidR="00791EC6">
              <w:rPr>
                <w:rFonts w:ascii="Times New Roman" w:hAnsi="Times New Roman" w:cs="Times New Roman"/>
                <w:iCs/>
                <w:sz w:val="24"/>
                <w:szCs w:val="24"/>
              </w:rPr>
              <w:t xml:space="preserve"> vērtības pārmaiņu rādītāji</w:t>
            </w:r>
            <w:r w:rsidR="00FA2ABA">
              <w:rPr>
                <w:rFonts w:ascii="Times New Roman" w:hAnsi="Times New Roman" w:cs="Times New Roman"/>
                <w:iCs/>
                <w:sz w:val="24"/>
                <w:szCs w:val="24"/>
              </w:rPr>
              <w:t xml:space="preserve"> s</w:t>
            </w:r>
            <w:r w:rsidR="00791EC6">
              <w:rPr>
                <w:rFonts w:ascii="Times New Roman" w:hAnsi="Times New Roman" w:cs="Times New Roman"/>
                <w:iCs/>
                <w:sz w:val="24"/>
                <w:szCs w:val="24"/>
              </w:rPr>
              <w:t xml:space="preserve">tarp </w:t>
            </w:r>
            <w:r w:rsidRPr="00E963C5">
              <w:rPr>
                <w:rFonts w:ascii="Times New Roman" w:hAnsi="Times New Roman" w:cs="Times New Roman"/>
                <w:iCs/>
                <w:sz w:val="24"/>
                <w:szCs w:val="24"/>
              </w:rPr>
              <w:t xml:space="preserve"> citām </w:t>
            </w:r>
            <w:r>
              <w:rPr>
                <w:rFonts w:ascii="Times New Roman" w:hAnsi="Times New Roman" w:cs="Times New Roman"/>
                <w:iCs/>
                <w:sz w:val="24"/>
                <w:szCs w:val="24"/>
              </w:rPr>
              <w:t>Eiropas Savienības dalībvalstīm</w:t>
            </w:r>
            <w:r w:rsidR="00791EC6">
              <w:rPr>
                <w:rFonts w:ascii="Times New Roman" w:hAnsi="Times New Roman" w:cs="Times New Roman"/>
                <w:iCs/>
                <w:sz w:val="24"/>
                <w:szCs w:val="24"/>
              </w:rPr>
              <w:t xml:space="preserve"> ir augstāki un ir virs ES dalībvalstu vidējā rādītāja.</w:t>
            </w:r>
          </w:p>
        </w:tc>
      </w:tr>
      <w:tr w:rsidR="00F967D6" w14:paraId="64934F53" w14:textId="77777777" w:rsidTr="007C1FEA">
        <w:trPr>
          <w:jc w:val="center"/>
        </w:trPr>
        <w:tc>
          <w:tcPr>
            <w:tcW w:w="3256" w:type="dxa"/>
          </w:tcPr>
          <w:p w14:paraId="20433E94" w14:textId="30173525" w:rsidR="00F967D6" w:rsidRDefault="00256A08" w:rsidP="007C1FEA">
            <w:pPr>
              <w:tabs>
                <w:tab w:val="left" w:pos="1134"/>
              </w:tabs>
              <w:spacing w:before="120" w:after="120"/>
              <w:jc w:val="both"/>
              <w:rPr>
                <w:rFonts w:ascii="Times New Roman" w:hAnsi="Times New Roman" w:cs="Times New Roman"/>
                <w:sz w:val="24"/>
                <w:szCs w:val="24"/>
              </w:rPr>
            </w:pPr>
            <w:r>
              <w:rPr>
                <w:rFonts w:ascii="Times New Roman" w:hAnsi="Times New Roman" w:cs="Times New Roman"/>
                <w:sz w:val="24"/>
                <w:szCs w:val="24"/>
              </w:rPr>
              <w:t>Nodokļu nomaksa</w:t>
            </w:r>
            <w:r w:rsidR="005C7E97">
              <w:rPr>
                <w:rFonts w:ascii="Times New Roman" w:hAnsi="Times New Roman" w:cs="Times New Roman"/>
                <w:sz w:val="24"/>
                <w:szCs w:val="24"/>
              </w:rPr>
              <w:t xml:space="preserve"> no 2018. līdz 2022.</w:t>
            </w:r>
            <w:r w:rsidR="0017747E">
              <w:rPr>
                <w:rFonts w:ascii="Times New Roman" w:hAnsi="Times New Roman" w:cs="Times New Roman"/>
                <w:sz w:val="24"/>
                <w:szCs w:val="24"/>
              </w:rPr>
              <w:t> </w:t>
            </w:r>
            <w:r w:rsidR="005C7E97">
              <w:rPr>
                <w:rFonts w:ascii="Times New Roman" w:hAnsi="Times New Roman" w:cs="Times New Roman"/>
                <w:sz w:val="24"/>
                <w:szCs w:val="24"/>
              </w:rPr>
              <w:t>gadam</w:t>
            </w:r>
          </w:p>
        </w:tc>
        <w:tc>
          <w:tcPr>
            <w:tcW w:w="5805" w:type="dxa"/>
          </w:tcPr>
          <w:p w14:paraId="4EC4879C" w14:textId="4B125959" w:rsidR="00F967D6" w:rsidRPr="009710FB" w:rsidRDefault="00DD5A27" w:rsidP="00791EC6">
            <w:pPr>
              <w:pStyle w:val="ListParagraph"/>
              <w:numPr>
                <w:ilvl w:val="0"/>
                <w:numId w:val="42"/>
              </w:numPr>
              <w:tabs>
                <w:tab w:val="left" w:pos="1134"/>
              </w:tabs>
              <w:ind w:left="746" w:hanging="425"/>
              <w:jc w:val="both"/>
              <w:rPr>
                <w:rFonts w:ascii="Times New Roman" w:eastAsia="Times New Roman" w:hAnsi="Times New Roman" w:cs="Times New Roman"/>
                <w:sz w:val="24"/>
                <w:szCs w:val="24"/>
              </w:rPr>
            </w:pPr>
            <w:r w:rsidRPr="009710FB">
              <w:rPr>
                <w:rFonts w:ascii="Times New Roman" w:hAnsi="Times New Roman" w:cs="Times New Roman"/>
                <w:sz w:val="24"/>
                <w:szCs w:val="24"/>
              </w:rPr>
              <w:t xml:space="preserve">Nodokļu nomaksa </w:t>
            </w:r>
            <w:r w:rsidR="0017747E">
              <w:rPr>
                <w:rFonts w:ascii="Times New Roman" w:hAnsi="Times New Roman" w:cs="Times New Roman"/>
                <w:sz w:val="24"/>
                <w:szCs w:val="24"/>
              </w:rPr>
              <w:t>ir uzlabojusies</w:t>
            </w:r>
            <w:r w:rsidRPr="009710FB">
              <w:rPr>
                <w:rFonts w:ascii="Times New Roman" w:hAnsi="Times New Roman" w:cs="Times New Roman"/>
                <w:sz w:val="24"/>
                <w:szCs w:val="24"/>
              </w:rPr>
              <w:t xml:space="preserve"> par 39</w:t>
            </w:r>
            <w:r w:rsidR="0017747E">
              <w:rPr>
                <w:rFonts w:ascii="Times New Roman" w:hAnsi="Times New Roman" w:cs="Times New Roman"/>
                <w:sz w:val="24"/>
                <w:szCs w:val="24"/>
              </w:rPr>
              <w:t> </w:t>
            </w:r>
            <w:r w:rsidRPr="009710FB">
              <w:rPr>
                <w:rFonts w:ascii="Times New Roman" w:hAnsi="Times New Roman" w:cs="Times New Roman"/>
                <w:sz w:val="24"/>
                <w:szCs w:val="24"/>
              </w:rPr>
              <w:t>%</w:t>
            </w:r>
            <w:r w:rsidR="009710FB" w:rsidRPr="009710FB">
              <w:rPr>
                <w:rFonts w:ascii="Times New Roman" w:hAnsi="Times New Roman" w:cs="Times New Roman"/>
                <w:sz w:val="24"/>
                <w:szCs w:val="24"/>
              </w:rPr>
              <w:t>.</w:t>
            </w:r>
            <w:r w:rsidR="009710FB" w:rsidRPr="009710FB">
              <w:rPr>
                <w:rFonts w:ascii="Times New Roman" w:eastAsia="Times New Roman" w:hAnsi="Times New Roman" w:cs="Times New Roman"/>
                <w:sz w:val="24"/>
                <w:szCs w:val="24"/>
              </w:rPr>
              <w:t xml:space="preserve"> Lielākoties tas saistīts ar darbaspēka nodokļu </w:t>
            </w:r>
            <w:r w:rsidR="0017747E">
              <w:rPr>
                <w:rFonts w:ascii="Times New Roman" w:eastAsia="Times New Roman" w:hAnsi="Times New Roman" w:cs="Times New Roman"/>
                <w:sz w:val="24"/>
                <w:szCs w:val="24"/>
              </w:rPr>
              <w:t>kāp</w:t>
            </w:r>
            <w:r w:rsidR="009710FB" w:rsidRPr="009710FB">
              <w:rPr>
                <w:rFonts w:ascii="Times New Roman" w:eastAsia="Times New Roman" w:hAnsi="Times New Roman" w:cs="Times New Roman"/>
                <w:sz w:val="24"/>
                <w:szCs w:val="24"/>
              </w:rPr>
              <w:t>umu, kas nozarē veido vislielāko nodokļa slogu</w:t>
            </w:r>
            <w:r w:rsidR="0017747E">
              <w:rPr>
                <w:rFonts w:ascii="Times New Roman" w:eastAsia="Times New Roman" w:hAnsi="Times New Roman" w:cs="Times New Roman"/>
                <w:sz w:val="24"/>
                <w:szCs w:val="24"/>
              </w:rPr>
              <w:t>:</w:t>
            </w:r>
            <w:r w:rsidR="009710FB" w:rsidRPr="009710FB">
              <w:rPr>
                <w:rFonts w:ascii="Times New Roman" w:eastAsia="Times New Roman" w:hAnsi="Times New Roman" w:cs="Times New Roman"/>
                <w:sz w:val="24"/>
                <w:szCs w:val="24"/>
              </w:rPr>
              <w:t>2020.</w:t>
            </w:r>
            <w:r w:rsidR="0017747E">
              <w:rPr>
                <w:rFonts w:ascii="Times New Roman" w:eastAsia="Times New Roman" w:hAnsi="Times New Roman" w:cs="Times New Roman"/>
                <w:sz w:val="24"/>
                <w:szCs w:val="24"/>
              </w:rPr>
              <w:t xml:space="preserve"> </w:t>
            </w:r>
            <w:r w:rsidR="009710FB" w:rsidRPr="009710FB">
              <w:rPr>
                <w:rFonts w:ascii="Times New Roman" w:eastAsia="Times New Roman" w:hAnsi="Times New Roman" w:cs="Times New Roman"/>
                <w:sz w:val="24"/>
                <w:szCs w:val="24"/>
              </w:rPr>
              <w:t>gadā 99</w:t>
            </w:r>
            <w:r w:rsidR="0017747E">
              <w:rPr>
                <w:rFonts w:ascii="Times New Roman" w:eastAsia="Times New Roman" w:hAnsi="Times New Roman" w:cs="Times New Roman"/>
                <w:sz w:val="24"/>
                <w:szCs w:val="24"/>
              </w:rPr>
              <w:t> </w:t>
            </w:r>
            <w:r w:rsidR="009710FB" w:rsidRPr="009710FB">
              <w:rPr>
                <w:rFonts w:ascii="Times New Roman" w:eastAsia="Times New Roman" w:hAnsi="Times New Roman" w:cs="Times New Roman"/>
                <w:sz w:val="24"/>
                <w:szCs w:val="24"/>
              </w:rPr>
              <w:t xml:space="preserve">% no kopējā nodokļu sloga veidoja tieši darbaspēka nodokļi </w:t>
            </w:r>
            <w:r w:rsidR="0017747E">
              <w:rPr>
                <w:rFonts w:ascii="Times New Roman" w:eastAsia="Times New Roman" w:hAnsi="Times New Roman" w:cs="Times New Roman"/>
                <w:sz w:val="24"/>
                <w:szCs w:val="24"/>
              </w:rPr>
              <w:t xml:space="preserve">– </w:t>
            </w:r>
            <w:r w:rsidR="009710FB" w:rsidRPr="009710FB">
              <w:rPr>
                <w:rFonts w:ascii="Times New Roman" w:eastAsia="Times New Roman" w:hAnsi="Times New Roman" w:cs="Times New Roman"/>
                <w:sz w:val="24"/>
                <w:szCs w:val="24"/>
              </w:rPr>
              <w:t>iedzīvotāju ienākuma nodoklis un valsts sociālās apdrošināšanas obligātās iemaksas.</w:t>
            </w:r>
          </w:p>
        </w:tc>
      </w:tr>
    </w:tbl>
    <w:p w14:paraId="19A67774" w14:textId="17483B85" w:rsidR="00791EC6" w:rsidRDefault="00791EC6" w:rsidP="00791EC6">
      <w:pPr>
        <w:pStyle w:val="ListParagraph"/>
        <w:tabs>
          <w:tab w:val="left" w:pos="1134"/>
        </w:tabs>
        <w:spacing w:before="120" w:after="120" w:line="240" w:lineRule="auto"/>
        <w:ind w:left="0" w:firstLine="709"/>
        <w:contextualSpacing w:val="0"/>
        <w:jc w:val="both"/>
        <w:rPr>
          <w:rFonts w:ascii="Times New Roman" w:eastAsia="Times New Roman" w:hAnsi="Times New Roman" w:cs="Times New Roman"/>
          <w:b/>
          <w:sz w:val="28"/>
          <w:szCs w:val="28"/>
        </w:rPr>
      </w:pPr>
      <w:r w:rsidRPr="00FA7CC5">
        <w:rPr>
          <w:rFonts w:ascii="Times New Roman" w:eastAsia="Times New Roman" w:hAnsi="Times New Roman" w:cs="Times New Roman"/>
          <w:b/>
          <w:bCs/>
          <w:sz w:val="24"/>
          <w:szCs w:val="24"/>
        </w:rPr>
        <w:t xml:space="preserve">Vērtējot situāciju augļkopības un dārzeņkopības nozarē kopš samazinātās PVN likmes 5 % apmērā ieviešanas augļiem, ogām un dārzeņiem, var secināt, ka </w:t>
      </w:r>
      <w:r>
        <w:rPr>
          <w:rFonts w:ascii="Times New Roman" w:eastAsia="Times New Roman" w:hAnsi="Times New Roman" w:cs="Times New Roman"/>
          <w:b/>
          <w:bCs/>
          <w:sz w:val="24"/>
          <w:szCs w:val="24"/>
        </w:rPr>
        <w:t>augļkopības un</w:t>
      </w:r>
      <w:r w:rsidRPr="00FA7CC5">
        <w:rPr>
          <w:rFonts w:ascii="Times New Roman" w:eastAsia="Times New Roman" w:hAnsi="Times New Roman" w:cs="Times New Roman"/>
          <w:b/>
          <w:bCs/>
          <w:sz w:val="24"/>
          <w:szCs w:val="24"/>
        </w:rPr>
        <w:t xml:space="preserve"> </w:t>
      </w:r>
      <w:r w:rsidRPr="00606811">
        <w:rPr>
          <w:rFonts w:ascii="Times New Roman" w:eastAsia="Times New Roman" w:hAnsi="Times New Roman" w:cs="Times New Roman"/>
          <w:b/>
          <w:sz w:val="24"/>
          <w:szCs w:val="24"/>
        </w:rPr>
        <w:t>dārzeņkopības nozaru attīstības rādītāji ir pozitīvi un liecina, ka laika periodā no 2017.gada līdz 2022.gadam Latvijā šī nozare ir attīstījusies ievērojami</w:t>
      </w:r>
      <w:r w:rsidR="0088008A">
        <w:rPr>
          <w:rFonts w:ascii="Times New Roman" w:eastAsia="Times New Roman" w:hAnsi="Times New Roman" w:cs="Times New Roman"/>
          <w:b/>
          <w:sz w:val="24"/>
          <w:szCs w:val="24"/>
        </w:rPr>
        <w:t>.</w:t>
      </w:r>
    </w:p>
    <w:p w14:paraId="1322CDB9" w14:textId="7EBC5219" w:rsidR="008500DB" w:rsidRDefault="00334654" w:rsidP="008500DB">
      <w:pPr>
        <w:pStyle w:val="ListParagraph"/>
        <w:numPr>
          <w:ilvl w:val="0"/>
          <w:numId w:val="20"/>
        </w:numPr>
        <w:tabs>
          <w:tab w:val="left" w:pos="1134"/>
        </w:tabs>
        <w:spacing w:before="360" w:after="120" w:line="240" w:lineRule="auto"/>
        <w:ind w:left="0" w:firstLine="709"/>
        <w:contextualSpacing w:val="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Rezultatīvo rādītāju izpildes un a</w:t>
      </w:r>
      <w:r w:rsidR="008500DB" w:rsidRPr="00C47438">
        <w:rPr>
          <w:rFonts w:ascii="Times New Roman" w:eastAsia="Times New Roman" w:hAnsi="Times New Roman" w:cs="Times New Roman"/>
          <w:b/>
          <w:sz w:val="28"/>
          <w:szCs w:val="28"/>
        </w:rPr>
        <w:t xml:space="preserve">ugļkopības </w:t>
      </w:r>
      <w:r w:rsidR="008500DB" w:rsidRPr="002A3BBE">
        <w:rPr>
          <w:rFonts w:ascii="Times New Roman" w:eastAsia="Times New Roman" w:hAnsi="Times New Roman" w:cs="Times New Roman"/>
          <w:b/>
          <w:sz w:val="28"/>
          <w:szCs w:val="28"/>
        </w:rPr>
        <w:t>un dārzeņkopības nozaru attīstības analīze</w:t>
      </w:r>
      <w:r>
        <w:rPr>
          <w:rFonts w:ascii="Times New Roman" w:eastAsia="Times New Roman" w:hAnsi="Times New Roman" w:cs="Times New Roman"/>
          <w:b/>
          <w:sz w:val="28"/>
          <w:szCs w:val="28"/>
        </w:rPr>
        <w:t>s kopsavilkums</w:t>
      </w:r>
    </w:p>
    <w:p w14:paraId="02767373" w14:textId="77777777" w:rsidR="008C0243" w:rsidRDefault="008C0243" w:rsidP="008C0243">
      <w:pPr>
        <w:pStyle w:val="ListParagraph"/>
        <w:tabs>
          <w:tab w:val="left" w:pos="1134"/>
        </w:tabs>
        <w:spacing w:before="360" w:after="120" w:line="240" w:lineRule="auto"/>
        <w:ind w:left="0" w:firstLine="709"/>
        <w:jc w:val="both"/>
        <w:rPr>
          <w:rFonts w:ascii="Times New Roman" w:eastAsia="Times New Roman" w:hAnsi="Times New Roman" w:cs="Times New Roman"/>
          <w:b/>
          <w:sz w:val="24"/>
          <w:szCs w:val="24"/>
        </w:rPr>
      </w:pPr>
      <w:r w:rsidRPr="008C0243">
        <w:rPr>
          <w:rFonts w:ascii="Times New Roman" w:eastAsia="Times New Roman" w:hAnsi="Times New Roman" w:cs="Times New Roman"/>
          <w:b/>
          <w:sz w:val="24"/>
          <w:szCs w:val="24"/>
        </w:rPr>
        <w:t>Rezultatīvo rādītāju izpildes rezultāti liecina, ka no četriem rezultatīvajiem rādītājiem trīs rādītāji - ir izpildīti daļēji un viens ir izpildīts.</w:t>
      </w:r>
    </w:p>
    <w:p w14:paraId="32BB0720" w14:textId="1C5C73E6" w:rsidR="009332BA" w:rsidRPr="008C0243" w:rsidRDefault="009332BA" w:rsidP="009332BA">
      <w:pPr>
        <w:pStyle w:val="ListParagraph"/>
        <w:tabs>
          <w:tab w:val="left" w:pos="1134"/>
        </w:tabs>
        <w:spacing w:before="120" w:after="120" w:line="240" w:lineRule="auto"/>
        <w:ind w:left="0" w:firstLine="709"/>
        <w:jc w:val="righ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6.tabula</w:t>
      </w:r>
    </w:p>
    <w:tbl>
      <w:tblPr>
        <w:tblStyle w:val="TableGrid"/>
        <w:tblW w:w="0" w:type="auto"/>
        <w:jc w:val="center"/>
        <w:tblLook w:val="04A0" w:firstRow="1" w:lastRow="0" w:firstColumn="1" w:lastColumn="0" w:noHBand="0" w:noVBand="1"/>
      </w:tblPr>
      <w:tblGrid>
        <w:gridCol w:w="1470"/>
        <w:gridCol w:w="139"/>
        <w:gridCol w:w="1224"/>
        <w:gridCol w:w="639"/>
        <w:gridCol w:w="918"/>
        <w:gridCol w:w="945"/>
        <w:gridCol w:w="612"/>
        <w:gridCol w:w="1251"/>
        <w:gridCol w:w="306"/>
        <w:gridCol w:w="1557"/>
      </w:tblGrid>
      <w:tr w:rsidR="008C0243" w:rsidRPr="002B356F" w14:paraId="64F4AD5C" w14:textId="77777777" w:rsidTr="00767149">
        <w:trPr>
          <w:jc w:val="center"/>
        </w:trPr>
        <w:tc>
          <w:tcPr>
            <w:tcW w:w="9061" w:type="dxa"/>
            <w:gridSpan w:val="10"/>
            <w:shd w:val="clear" w:color="auto" w:fill="auto"/>
          </w:tcPr>
          <w:p w14:paraId="23B8006A" w14:textId="77777777" w:rsidR="008C0243" w:rsidRPr="002B356F" w:rsidRDefault="008C0243" w:rsidP="00767149">
            <w:pPr>
              <w:tabs>
                <w:tab w:val="left" w:pos="1134"/>
              </w:tabs>
              <w:spacing w:after="120"/>
              <w:jc w:val="both"/>
              <w:rPr>
                <w:rFonts w:ascii="Times New Roman" w:eastAsia="Times New Roman" w:hAnsi="Times New Roman" w:cs="Times New Roman"/>
                <w:b/>
                <w:sz w:val="24"/>
                <w:szCs w:val="24"/>
              </w:rPr>
            </w:pPr>
            <w:r w:rsidRPr="00FC1318">
              <w:rPr>
                <w:rFonts w:ascii="Times New Roman" w:eastAsia="Times New Roman" w:hAnsi="Times New Roman" w:cs="Times New Roman"/>
                <w:b/>
                <w:sz w:val="24"/>
                <w:szCs w:val="24"/>
              </w:rPr>
              <w:t xml:space="preserve">Rezultatīvais rādītājs </w:t>
            </w:r>
            <w:r w:rsidRPr="004973C9">
              <w:rPr>
                <w:rFonts w:ascii="Times New Roman" w:eastAsia="Times New Roman" w:hAnsi="Times New Roman" w:cs="Times New Roman"/>
                <w:b/>
                <w:sz w:val="24"/>
                <w:szCs w:val="24"/>
              </w:rPr>
              <w:t>“</w:t>
            </w:r>
            <w:r w:rsidRPr="004973C9">
              <w:rPr>
                <w:rFonts w:ascii="Times New Roman" w:eastAsia="Times New Roman" w:hAnsi="Times New Roman"/>
                <w:b/>
                <w:sz w:val="24"/>
                <w:szCs w:val="24"/>
                <w:lang w:eastAsia="lv-LV"/>
              </w:rPr>
              <w:t xml:space="preserve">Pievienotās vērtības nodokļa likumā noteikto augļu, ogu un dārzeņu izaudzētās produkcijas vērtība salīdzinājumā </w:t>
            </w:r>
            <w:r>
              <w:rPr>
                <w:rFonts w:ascii="Times New Roman" w:eastAsia="Times New Roman" w:hAnsi="Times New Roman"/>
                <w:b/>
                <w:sz w:val="24"/>
                <w:szCs w:val="24"/>
                <w:lang w:eastAsia="lv-LV"/>
              </w:rPr>
              <w:t>ar</w:t>
            </w:r>
            <w:r w:rsidRPr="004973C9">
              <w:rPr>
                <w:rFonts w:ascii="Times New Roman" w:eastAsia="Times New Roman" w:hAnsi="Times New Roman"/>
                <w:b/>
                <w:sz w:val="24"/>
                <w:szCs w:val="24"/>
                <w:lang w:eastAsia="lv-LV"/>
              </w:rPr>
              <w:t xml:space="preserve"> ievesto produkcijas vērtību ir lielāka par vienu procentpunktu (ik gadu)”</w:t>
            </w:r>
          </w:p>
        </w:tc>
      </w:tr>
      <w:tr w:rsidR="008C0243" w:rsidRPr="00441C7C" w14:paraId="1305078A" w14:textId="77777777" w:rsidTr="00767149">
        <w:trPr>
          <w:jc w:val="center"/>
        </w:trPr>
        <w:tc>
          <w:tcPr>
            <w:tcW w:w="1470" w:type="dxa"/>
            <w:shd w:val="clear" w:color="auto" w:fill="auto"/>
          </w:tcPr>
          <w:p w14:paraId="19AB8DDF"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p>
        </w:tc>
        <w:tc>
          <w:tcPr>
            <w:tcW w:w="1363" w:type="dxa"/>
            <w:gridSpan w:val="2"/>
            <w:shd w:val="clear" w:color="auto" w:fill="auto"/>
          </w:tcPr>
          <w:p w14:paraId="656E699E"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2018./2017.</w:t>
            </w:r>
          </w:p>
          <w:p w14:paraId="57D6C8C9"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gridSpan w:val="2"/>
            <w:shd w:val="clear" w:color="auto" w:fill="auto"/>
          </w:tcPr>
          <w:p w14:paraId="65E1A08F"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2019./2018.</w:t>
            </w:r>
          </w:p>
          <w:p w14:paraId="1BD96A1D"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gridSpan w:val="2"/>
            <w:shd w:val="clear" w:color="auto" w:fill="auto"/>
          </w:tcPr>
          <w:p w14:paraId="7EC89E0B"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2020./2019.</w:t>
            </w:r>
          </w:p>
          <w:p w14:paraId="7163FF15"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gridSpan w:val="2"/>
            <w:shd w:val="clear" w:color="auto" w:fill="auto"/>
          </w:tcPr>
          <w:p w14:paraId="243DC8D5"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1</w:t>
            </w:r>
            <w:r w:rsidRPr="002B356F">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0</w:t>
            </w:r>
            <w:r w:rsidRPr="002B356F">
              <w:rPr>
                <w:rFonts w:ascii="Times New Roman" w:eastAsia="Times New Roman" w:hAnsi="Times New Roman" w:cs="Times New Roman"/>
                <w:bCs/>
                <w:sz w:val="24"/>
                <w:szCs w:val="24"/>
              </w:rPr>
              <w:t>.</w:t>
            </w:r>
          </w:p>
          <w:p w14:paraId="714E651F"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678A5CFB"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2021./2022.</w:t>
            </w:r>
          </w:p>
          <w:p w14:paraId="421DF9CD"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r>
      <w:tr w:rsidR="008C0243" w:rsidRPr="002B356F" w14:paraId="2C575185" w14:textId="77777777" w:rsidTr="00767149">
        <w:trPr>
          <w:jc w:val="center"/>
        </w:trPr>
        <w:tc>
          <w:tcPr>
            <w:tcW w:w="1470" w:type="dxa"/>
          </w:tcPr>
          <w:p w14:paraId="42FEF959" w14:textId="77777777" w:rsidR="008C0243" w:rsidRPr="002B356F" w:rsidRDefault="008C0243" w:rsidP="00767149">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Rezultatīvais rādītājs, procenti</w:t>
            </w:r>
          </w:p>
        </w:tc>
        <w:tc>
          <w:tcPr>
            <w:tcW w:w="1363" w:type="dxa"/>
            <w:gridSpan w:val="2"/>
            <w:vAlign w:val="center"/>
          </w:tcPr>
          <w:p w14:paraId="4AB0985C"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gridSpan w:val="2"/>
            <w:vAlign w:val="center"/>
          </w:tcPr>
          <w:p w14:paraId="73D1D0C5"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gridSpan w:val="2"/>
            <w:vAlign w:val="center"/>
          </w:tcPr>
          <w:p w14:paraId="5342FD1E"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gridSpan w:val="2"/>
            <w:vAlign w:val="center"/>
          </w:tcPr>
          <w:p w14:paraId="4BF542F0"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557" w:type="dxa"/>
            <w:vAlign w:val="center"/>
          </w:tcPr>
          <w:p w14:paraId="1B15BF44"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8C0243" w:rsidRPr="002B356F" w14:paraId="45C9D775" w14:textId="77777777" w:rsidTr="00767149">
        <w:trPr>
          <w:jc w:val="center"/>
        </w:trPr>
        <w:tc>
          <w:tcPr>
            <w:tcW w:w="1470" w:type="dxa"/>
          </w:tcPr>
          <w:p w14:paraId="2CDF2F8A" w14:textId="77777777" w:rsidR="008C0243" w:rsidRPr="002B356F" w:rsidRDefault="008C0243" w:rsidP="00767149">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Izpilde, procenti</w:t>
            </w:r>
          </w:p>
        </w:tc>
        <w:tc>
          <w:tcPr>
            <w:tcW w:w="1363" w:type="dxa"/>
            <w:gridSpan w:val="2"/>
            <w:vAlign w:val="center"/>
          </w:tcPr>
          <w:p w14:paraId="092F7AE8" w14:textId="77777777" w:rsidR="008C0243" w:rsidRPr="00BF272E" w:rsidRDefault="008C0243" w:rsidP="00767149">
            <w:pPr>
              <w:tabs>
                <w:tab w:val="left" w:pos="1134"/>
              </w:tabs>
              <w:jc w:val="center"/>
              <w:rPr>
                <w:rFonts w:ascii="Times New Roman" w:eastAsia="Times New Roman" w:hAnsi="Times New Roman" w:cs="Times New Roman"/>
                <w:b/>
                <w:color w:val="70AD47" w:themeColor="accent6"/>
                <w:sz w:val="24"/>
                <w:szCs w:val="24"/>
              </w:rPr>
            </w:pPr>
            <w:r w:rsidRPr="00BF272E">
              <w:rPr>
                <w:rFonts w:ascii="Times New Roman" w:eastAsia="Times New Roman" w:hAnsi="Times New Roman" w:cs="Times New Roman"/>
                <w:b/>
                <w:color w:val="70AD47" w:themeColor="accent6"/>
                <w:sz w:val="24"/>
                <w:szCs w:val="24"/>
              </w:rPr>
              <w:t>+9</w:t>
            </w:r>
          </w:p>
        </w:tc>
        <w:tc>
          <w:tcPr>
            <w:tcW w:w="1557" w:type="dxa"/>
            <w:gridSpan w:val="2"/>
            <w:vAlign w:val="center"/>
          </w:tcPr>
          <w:p w14:paraId="7D8ACB7A" w14:textId="77777777" w:rsidR="008C0243" w:rsidRPr="002B356F" w:rsidRDefault="008C0243" w:rsidP="00767149">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+1</w:t>
            </w:r>
          </w:p>
        </w:tc>
        <w:tc>
          <w:tcPr>
            <w:tcW w:w="1557" w:type="dxa"/>
            <w:gridSpan w:val="2"/>
            <w:vAlign w:val="center"/>
          </w:tcPr>
          <w:p w14:paraId="50AD062C" w14:textId="77777777" w:rsidR="008C0243" w:rsidRPr="00BF272E" w:rsidRDefault="008C0243" w:rsidP="00767149">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BF272E">
              <w:rPr>
                <w:rFonts w:ascii="Times New Roman" w:eastAsia="Times New Roman" w:hAnsi="Times New Roman" w:cs="Times New Roman"/>
                <w:b/>
                <w:color w:val="FF0000"/>
                <w:sz w:val="24"/>
                <w:szCs w:val="24"/>
              </w:rPr>
              <w:t>15</w:t>
            </w:r>
          </w:p>
        </w:tc>
        <w:tc>
          <w:tcPr>
            <w:tcW w:w="1557" w:type="dxa"/>
            <w:gridSpan w:val="2"/>
            <w:vAlign w:val="center"/>
          </w:tcPr>
          <w:p w14:paraId="18D2B3C2" w14:textId="77777777" w:rsidR="008C0243" w:rsidRPr="00BF272E" w:rsidRDefault="008C0243" w:rsidP="00767149">
            <w:pPr>
              <w:tabs>
                <w:tab w:val="left" w:pos="1134"/>
              </w:tabs>
              <w:jc w:val="center"/>
              <w:rPr>
                <w:rFonts w:ascii="Times New Roman" w:eastAsia="Times New Roman" w:hAnsi="Times New Roman" w:cs="Times New Roman"/>
                <w:b/>
                <w:color w:val="FF0000"/>
                <w:sz w:val="24"/>
                <w:szCs w:val="24"/>
              </w:rPr>
            </w:pPr>
            <w:r w:rsidRPr="00BF272E">
              <w:rPr>
                <w:rFonts w:ascii="Times New Roman" w:eastAsia="Times New Roman" w:hAnsi="Times New Roman" w:cs="Times New Roman"/>
                <w:b/>
                <w:color w:val="FF0000"/>
                <w:sz w:val="24"/>
                <w:szCs w:val="24"/>
              </w:rPr>
              <w:t>0</w:t>
            </w:r>
          </w:p>
        </w:tc>
        <w:tc>
          <w:tcPr>
            <w:tcW w:w="1557" w:type="dxa"/>
            <w:vAlign w:val="center"/>
          </w:tcPr>
          <w:p w14:paraId="6646D0EC" w14:textId="77777777" w:rsidR="008C0243" w:rsidRPr="00BF272E" w:rsidRDefault="008C0243" w:rsidP="00767149">
            <w:pPr>
              <w:tabs>
                <w:tab w:val="left" w:pos="1134"/>
              </w:tabs>
              <w:jc w:val="center"/>
              <w:rPr>
                <w:rFonts w:ascii="Times New Roman" w:eastAsia="Times New Roman" w:hAnsi="Times New Roman" w:cs="Times New Roman"/>
                <w:b/>
                <w:color w:val="538135" w:themeColor="accent6" w:themeShade="BF"/>
                <w:sz w:val="24"/>
                <w:szCs w:val="24"/>
              </w:rPr>
            </w:pPr>
            <w:r w:rsidRPr="00BF272E">
              <w:rPr>
                <w:rFonts w:ascii="Times New Roman" w:eastAsia="Times New Roman" w:hAnsi="Times New Roman" w:cs="Times New Roman"/>
                <w:b/>
                <w:color w:val="70AD47" w:themeColor="accent6"/>
                <w:sz w:val="24"/>
                <w:szCs w:val="24"/>
              </w:rPr>
              <w:t>+28</w:t>
            </w:r>
          </w:p>
        </w:tc>
      </w:tr>
      <w:tr w:rsidR="008C0243" w:rsidRPr="003378FD" w14:paraId="74646488" w14:textId="77777777" w:rsidTr="00767149">
        <w:trPr>
          <w:jc w:val="center"/>
        </w:trPr>
        <w:tc>
          <w:tcPr>
            <w:tcW w:w="1470" w:type="dxa"/>
          </w:tcPr>
          <w:p w14:paraId="6B5B88A8" w14:textId="77777777" w:rsidR="008C0243" w:rsidRPr="002B356F" w:rsidRDefault="008C0243" w:rsidP="00767149">
            <w:pPr>
              <w:tabs>
                <w:tab w:val="left" w:pos="1134"/>
              </w:tabs>
              <w:jc w:val="center"/>
              <w:rPr>
                <w:rFonts w:ascii="Times New Roman" w:eastAsia="Times New Roman" w:hAnsi="Times New Roman" w:cs="Times New Roman"/>
                <w:b/>
                <w:i/>
                <w:iCs/>
                <w:sz w:val="24"/>
                <w:szCs w:val="24"/>
              </w:rPr>
            </w:pPr>
          </w:p>
        </w:tc>
        <w:tc>
          <w:tcPr>
            <w:tcW w:w="7591" w:type="dxa"/>
            <w:gridSpan w:val="9"/>
          </w:tcPr>
          <w:p w14:paraId="3196771D" w14:textId="77777777" w:rsidR="008C0243" w:rsidRPr="003378FD" w:rsidRDefault="008C0243" w:rsidP="00767149">
            <w:pPr>
              <w:tabs>
                <w:tab w:val="left" w:pos="1134"/>
              </w:tabs>
              <w:jc w:val="center"/>
              <w:rPr>
                <w:rFonts w:ascii="Times New Roman" w:eastAsia="Times New Roman" w:hAnsi="Times New Roman" w:cs="Times New Roman"/>
                <w:b/>
                <w:i/>
                <w:iCs/>
                <w:sz w:val="24"/>
                <w:szCs w:val="24"/>
              </w:rPr>
            </w:pPr>
            <w:r w:rsidRPr="002B356F">
              <w:rPr>
                <w:rFonts w:ascii="Times New Roman" w:eastAsia="Times New Roman" w:hAnsi="Times New Roman" w:cs="Times New Roman"/>
                <w:b/>
                <w:i/>
                <w:iCs/>
                <w:sz w:val="24"/>
                <w:szCs w:val="24"/>
              </w:rPr>
              <w:t>Izpildīts daļēji</w:t>
            </w:r>
            <w:r>
              <w:rPr>
                <w:rFonts w:ascii="Times New Roman" w:eastAsia="Times New Roman" w:hAnsi="Times New Roman" w:cs="Times New Roman"/>
                <w:b/>
                <w:i/>
                <w:iCs/>
                <w:sz w:val="24"/>
                <w:szCs w:val="24"/>
              </w:rPr>
              <w:t>.</w:t>
            </w:r>
          </w:p>
        </w:tc>
      </w:tr>
      <w:tr w:rsidR="008C0243" w14:paraId="1A146863" w14:textId="77777777" w:rsidTr="00767149">
        <w:trPr>
          <w:jc w:val="center"/>
        </w:trPr>
        <w:tc>
          <w:tcPr>
            <w:tcW w:w="9061" w:type="dxa"/>
            <w:gridSpan w:val="10"/>
          </w:tcPr>
          <w:p w14:paraId="2C642CB8" w14:textId="77777777" w:rsidR="008C0243" w:rsidRPr="00FC1318" w:rsidRDefault="008C0243" w:rsidP="00767149">
            <w:pPr>
              <w:tabs>
                <w:tab w:val="left" w:pos="1134"/>
              </w:tabs>
              <w:spacing w:after="120"/>
              <w:jc w:val="both"/>
              <w:rPr>
                <w:rFonts w:ascii="Times New Roman" w:eastAsia="Times New Roman" w:hAnsi="Times New Roman" w:cs="Times New Roman"/>
                <w:b/>
                <w:sz w:val="24"/>
                <w:szCs w:val="24"/>
              </w:rPr>
            </w:pPr>
            <w:r w:rsidRPr="00FC1318">
              <w:rPr>
                <w:rFonts w:ascii="Times New Roman" w:eastAsia="Times New Roman" w:hAnsi="Times New Roman" w:cs="Times New Roman"/>
                <w:b/>
                <w:sz w:val="24"/>
                <w:szCs w:val="24"/>
              </w:rPr>
              <w:t>Rezultatīvais rādītājs “</w:t>
            </w:r>
            <w:r w:rsidRPr="00FC1318">
              <w:rPr>
                <w:rFonts w:ascii="Times New Roman" w:eastAsia="Times New Roman" w:hAnsi="Times New Roman"/>
                <w:b/>
                <w:sz w:val="24"/>
                <w:szCs w:val="24"/>
                <w:lang w:eastAsia="lv-LV"/>
              </w:rPr>
              <w:t>Apgrozījums darījumiem ar Pievienotās vērtības nodokļa likuma 1.</w:t>
            </w:r>
            <w:r>
              <w:rPr>
                <w:rFonts w:ascii="Times New Roman" w:eastAsia="Times New Roman" w:hAnsi="Times New Roman"/>
                <w:b/>
                <w:sz w:val="24"/>
                <w:szCs w:val="24"/>
                <w:lang w:eastAsia="lv-LV"/>
              </w:rPr>
              <w:t> </w:t>
            </w:r>
            <w:r w:rsidRPr="00FC1318">
              <w:rPr>
                <w:rFonts w:ascii="Times New Roman" w:eastAsia="Times New Roman" w:hAnsi="Times New Roman"/>
                <w:b/>
                <w:sz w:val="24"/>
                <w:szCs w:val="24"/>
                <w:lang w:eastAsia="lv-LV"/>
              </w:rPr>
              <w:t xml:space="preserve">pielikumā noteiktajiem svaigiem augļiem, ogām un dārzeņiem salīdzinājumā </w:t>
            </w:r>
            <w:r>
              <w:rPr>
                <w:rFonts w:ascii="Times New Roman" w:eastAsia="Times New Roman" w:hAnsi="Times New Roman"/>
                <w:b/>
                <w:sz w:val="24"/>
                <w:szCs w:val="24"/>
                <w:lang w:eastAsia="lv-LV"/>
              </w:rPr>
              <w:t>ar</w:t>
            </w:r>
            <w:r w:rsidRPr="00FC1318">
              <w:rPr>
                <w:rFonts w:ascii="Times New Roman" w:eastAsia="Times New Roman" w:hAnsi="Times New Roman"/>
                <w:b/>
                <w:sz w:val="24"/>
                <w:szCs w:val="24"/>
                <w:lang w:eastAsia="lv-LV"/>
              </w:rPr>
              <w:t xml:space="preserve"> apgrozījumu kopējiem darījumiem (neieskaitot darījumus ar Pievienotās vērtības nodokļa likuma 1.</w:t>
            </w:r>
            <w:r>
              <w:rPr>
                <w:rFonts w:ascii="Times New Roman" w:eastAsia="Times New Roman" w:hAnsi="Times New Roman"/>
                <w:b/>
                <w:sz w:val="24"/>
                <w:szCs w:val="24"/>
                <w:lang w:eastAsia="lv-LV"/>
              </w:rPr>
              <w:t> </w:t>
            </w:r>
            <w:r w:rsidRPr="00FC1318">
              <w:rPr>
                <w:rFonts w:ascii="Times New Roman" w:eastAsia="Times New Roman" w:hAnsi="Times New Roman"/>
                <w:b/>
                <w:sz w:val="24"/>
                <w:szCs w:val="24"/>
                <w:lang w:eastAsia="lv-LV"/>
              </w:rPr>
              <w:t xml:space="preserve">pielikumā noteiktajiem svaigiem augļiem, ogām un dārzeņiem) ir lielāks par </w:t>
            </w:r>
            <w:r>
              <w:rPr>
                <w:rFonts w:ascii="Times New Roman" w:eastAsia="Times New Roman" w:hAnsi="Times New Roman"/>
                <w:b/>
                <w:sz w:val="24"/>
                <w:szCs w:val="24"/>
                <w:lang w:eastAsia="lv-LV"/>
              </w:rPr>
              <w:t>sešiem</w:t>
            </w:r>
            <w:r w:rsidRPr="00FC1318">
              <w:rPr>
                <w:rFonts w:ascii="Times New Roman" w:eastAsia="Times New Roman" w:hAnsi="Times New Roman"/>
                <w:b/>
                <w:sz w:val="24"/>
                <w:szCs w:val="24"/>
                <w:lang w:eastAsia="lv-LV"/>
              </w:rPr>
              <w:t xml:space="preserve"> procentpunktiem (ik gadu)”</w:t>
            </w:r>
          </w:p>
        </w:tc>
      </w:tr>
      <w:tr w:rsidR="008C0243" w14:paraId="377770B8" w14:textId="77777777" w:rsidTr="008C0243">
        <w:trPr>
          <w:jc w:val="center"/>
        </w:trPr>
        <w:tc>
          <w:tcPr>
            <w:tcW w:w="1609" w:type="dxa"/>
            <w:gridSpan w:val="2"/>
          </w:tcPr>
          <w:p w14:paraId="1BF553C4" w14:textId="77777777" w:rsidR="008C0243" w:rsidRDefault="008C0243" w:rsidP="00767149">
            <w:pPr>
              <w:tabs>
                <w:tab w:val="left" w:pos="1134"/>
              </w:tabs>
              <w:jc w:val="both"/>
              <w:rPr>
                <w:rFonts w:ascii="Times New Roman" w:eastAsia="Times New Roman" w:hAnsi="Times New Roman" w:cs="Times New Roman"/>
                <w:bCs/>
                <w:sz w:val="24"/>
                <w:szCs w:val="24"/>
              </w:rPr>
            </w:pPr>
          </w:p>
        </w:tc>
        <w:tc>
          <w:tcPr>
            <w:tcW w:w="1863" w:type="dxa"/>
            <w:gridSpan w:val="2"/>
          </w:tcPr>
          <w:p w14:paraId="2D9B49B7" w14:textId="77777777" w:rsidR="008C0243" w:rsidRDefault="008C0243" w:rsidP="00767149">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2019./2018. gads</w:t>
            </w:r>
          </w:p>
        </w:tc>
        <w:tc>
          <w:tcPr>
            <w:tcW w:w="1863" w:type="dxa"/>
            <w:gridSpan w:val="2"/>
          </w:tcPr>
          <w:p w14:paraId="3967BE35" w14:textId="77777777" w:rsidR="008C0243" w:rsidRDefault="008C0243" w:rsidP="00767149">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2020./2019. gads</w:t>
            </w:r>
          </w:p>
        </w:tc>
        <w:tc>
          <w:tcPr>
            <w:tcW w:w="1863" w:type="dxa"/>
            <w:gridSpan w:val="2"/>
          </w:tcPr>
          <w:p w14:paraId="5BF8D117" w14:textId="77777777" w:rsidR="008C0243" w:rsidRDefault="008C0243" w:rsidP="00767149">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2020./2021. gads</w:t>
            </w:r>
          </w:p>
        </w:tc>
        <w:tc>
          <w:tcPr>
            <w:tcW w:w="1863" w:type="dxa"/>
            <w:gridSpan w:val="2"/>
          </w:tcPr>
          <w:p w14:paraId="737A5763" w14:textId="77777777" w:rsidR="008C0243" w:rsidRDefault="008C0243" w:rsidP="00767149">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2021./2022. gads</w:t>
            </w:r>
          </w:p>
        </w:tc>
      </w:tr>
      <w:tr w:rsidR="008C0243" w14:paraId="17B0C76D" w14:textId="77777777" w:rsidTr="008C0243">
        <w:trPr>
          <w:trHeight w:val="888"/>
          <w:jc w:val="center"/>
        </w:trPr>
        <w:tc>
          <w:tcPr>
            <w:tcW w:w="1609" w:type="dxa"/>
            <w:gridSpan w:val="2"/>
          </w:tcPr>
          <w:p w14:paraId="7C2C1124" w14:textId="77777777" w:rsidR="008C0243" w:rsidRDefault="008C0243" w:rsidP="00767149">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Rezultatīvais rādītājs, procentpunkti</w:t>
            </w:r>
          </w:p>
        </w:tc>
        <w:tc>
          <w:tcPr>
            <w:tcW w:w="1863" w:type="dxa"/>
            <w:gridSpan w:val="2"/>
          </w:tcPr>
          <w:p w14:paraId="419A8B2A" w14:textId="77777777" w:rsidR="008C0243"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63" w:type="dxa"/>
            <w:gridSpan w:val="2"/>
          </w:tcPr>
          <w:p w14:paraId="60D9921D" w14:textId="77777777" w:rsidR="008C0243"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63" w:type="dxa"/>
            <w:gridSpan w:val="2"/>
          </w:tcPr>
          <w:p w14:paraId="15C743CC" w14:textId="77777777" w:rsidR="008C0243"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863" w:type="dxa"/>
            <w:gridSpan w:val="2"/>
          </w:tcPr>
          <w:p w14:paraId="188093BF" w14:textId="77777777" w:rsidR="008C0243" w:rsidRDefault="008C0243" w:rsidP="00767149">
            <w:pPr>
              <w:tabs>
                <w:tab w:val="left" w:pos="1134"/>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8C0243" w14:paraId="4B2E3B31" w14:textId="77777777" w:rsidTr="008C0243">
        <w:trPr>
          <w:jc w:val="center"/>
        </w:trPr>
        <w:tc>
          <w:tcPr>
            <w:tcW w:w="1609" w:type="dxa"/>
            <w:gridSpan w:val="2"/>
          </w:tcPr>
          <w:p w14:paraId="73DF6D8C" w14:textId="77777777" w:rsidR="008C0243" w:rsidRDefault="008C0243" w:rsidP="00767149">
            <w:p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Izpilde, procentpunkti</w:t>
            </w:r>
          </w:p>
        </w:tc>
        <w:tc>
          <w:tcPr>
            <w:tcW w:w="1863" w:type="dxa"/>
            <w:gridSpan w:val="2"/>
          </w:tcPr>
          <w:p w14:paraId="5D7A829A" w14:textId="77777777" w:rsidR="008C0243" w:rsidRPr="008E38FF" w:rsidRDefault="008C0243" w:rsidP="00767149">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w:t>
            </w:r>
            <w:r w:rsidRPr="008E38FF">
              <w:rPr>
                <w:rFonts w:ascii="Times New Roman" w:eastAsia="Times New Roman" w:hAnsi="Times New Roman" w:cs="Times New Roman"/>
                <w:b/>
                <w:color w:val="70AD47" w:themeColor="accent6"/>
                <w:sz w:val="24"/>
                <w:szCs w:val="24"/>
              </w:rPr>
              <w:t>13</w:t>
            </w:r>
          </w:p>
        </w:tc>
        <w:tc>
          <w:tcPr>
            <w:tcW w:w="1863" w:type="dxa"/>
            <w:gridSpan w:val="2"/>
          </w:tcPr>
          <w:p w14:paraId="3FF139C4" w14:textId="77777777" w:rsidR="008C0243" w:rsidRPr="008E38FF" w:rsidRDefault="008C0243" w:rsidP="00767149">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w:t>
            </w:r>
            <w:r w:rsidRPr="008E38FF">
              <w:rPr>
                <w:rFonts w:ascii="Times New Roman" w:eastAsia="Times New Roman" w:hAnsi="Times New Roman" w:cs="Times New Roman"/>
                <w:b/>
                <w:color w:val="70AD47" w:themeColor="accent6"/>
                <w:sz w:val="24"/>
                <w:szCs w:val="24"/>
              </w:rPr>
              <w:t>8</w:t>
            </w:r>
          </w:p>
        </w:tc>
        <w:tc>
          <w:tcPr>
            <w:tcW w:w="1863" w:type="dxa"/>
            <w:gridSpan w:val="2"/>
          </w:tcPr>
          <w:p w14:paraId="2441FCA8" w14:textId="77777777" w:rsidR="008C0243" w:rsidRPr="008E38FF" w:rsidRDefault="008C0243" w:rsidP="00767149">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8E38FF">
              <w:rPr>
                <w:rFonts w:ascii="Times New Roman" w:eastAsia="Times New Roman" w:hAnsi="Times New Roman" w:cs="Times New Roman"/>
                <w:b/>
                <w:color w:val="FF0000"/>
                <w:sz w:val="24"/>
                <w:szCs w:val="24"/>
              </w:rPr>
              <w:t>9</w:t>
            </w:r>
          </w:p>
        </w:tc>
        <w:tc>
          <w:tcPr>
            <w:tcW w:w="1863" w:type="dxa"/>
            <w:gridSpan w:val="2"/>
          </w:tcPr>
          <w:p w14:paraId="12867474" w14:textId="77777777" w:rsidR="008C0243" w:rsidRPr="008E38FF" w:rsidRDefault="008C0243" w:rsidP="00767149">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8E38FF">
              <w:rPr>
                <w:rFonts w:ascii="Times New Roman" w:eastAsia="Times New Roman" w:hAnsi="Times New Roman" w:cs="Times New Roman"/>
                <w:b/>
                <w:color w:val="FF0000"/>
                <w:sz w:val="24"/>
                <w:szCs w:val="24"/>
              </w:rPr>
              <w:t>2</w:t>
            </w:r>
          </w:p>
        </w:tc>
      </w:tr>
      <w:tr w:rsidR="008C0243" w:rsidRPr="003378FD" w14:paraId="1C521FA3" w14:textId="77777777" w:rsidTr="00767149">
        <w:trPr>
          <w:jc w:val="center"/>
        </w:trPr>
        <w:tc>
          <w:tcPr>
            <w:tcW w:w="9061" w:type="dxa"/>
            <w:gridSpan w:val="10"/>
          </w:tcPr>
          <w:p w14:paraId="47A1915B" w14:textId="77777777" w:rsidR="008C0243" w:rsidRPr="003378FD" w:rsidRDefault="008C0243" w:rsidP="00767149">
            <w:pPr>
              <w:tabs>
                <w:tab w:val="left" w:pos="1134"/>
              </w:tabs>
              <w:jc w:val="center"/>
              <w:rPr>
                <w:rFonts w:ascii="Times New Roman" w:eastAsia="Times New Roman" w:hAnsi="Times New Roman" w:cs="Times New Roman"/>
                <w:b/>
                <w:i/>
                <w:iCs/>
                <w:sz w:val="24"/>
                <w:szCs w:val="24"/>
              </w:rPr>
            </w:pPr>
            <w:r w:rsidRPr="003378FD">
              <w:rPr>
                <w:rFonts w:ascii="Times New Roman" w:eastAsia="Times New Roman" w:hAnsi="Times New Roman" w:cs="Times New Roman"/>
                <w:b/>
                <w:i/>
                <w:iCs/>
                <w:sz w:val="24"/>
                <w:szCs w:val="24"/>
              </w:rPr>
              <w:t>Izpildīts daļēji</w:t>
            </w:r>
            <w:r>
              <w:rPr>
                <w:rFonts w:ascii="Times New Roman" w:eastAsia="Times New Roman" w:hAnsi="Times New Roman" w:cs="Times New Roman"/>
                <w:b/>
                <w:i/>
                <w:iCs/>
                <w:sz w:val="24"/>
                <w:szCs w:val="24"/>
              </w:rPr>
              <w:t>.</w:t>
            </w:r>
          </w:p>
        </w:tc>
      </w:tr>
      <w:tr w:rsidR="008C0243" w:rsidRPr="002B356F" w14:paraId="4AC99214" w14:textId="77777777" w:rsidTr="00767149">
        <w:trPr>
          <w:jc w:val="center"/>
        </w:trPr>
        <w:tc>
          <w:tcPr>
            <w:tcW w:w="9061" w:type="dxa"/>
            <w:gridSpan w:val="10"/>
            <w:shd w:val="clear" w:color="auto" w:fill="auto"/>
          </w:tcPr>
          <w:p w14:paraId="1142CD45" w14:textId="77777777" w:rsidR="008C0243" w:rsidRPr="002B356F" w:rsidRDefault="008C0243" w:rsidP="00767149">
            <w:pPr>
              <w:tabs>
                <w:tab w:val="left" w:pos="1134"/>
              </w:tabs>
              <w:spacing w:after="120"/>
              <w:jc w:val="both"/>
              <w:rPr>
                <w:rFonts w:ascii="Times New Roman" w:eastAsia="Times New Roman" w:hAnsi="Times New Roman" w:cs="Times New Roman"/>
                <w:b/>
                <w:sz w:val="24"/>
                <w:szCs w:val="24"/>
              </w:rPr>
            </w:pPr>
            <w:r w:rsidRPr="002B356F">
              <w:rPr>
                <w:rFonts w:ascii="Times New Roman" w:eastAsia="Times New Roman" w:hAnsi="Times New Roman" w:cs="Times New Roman"/>
                <w:b/>
                <w:sz w:val="24"/>
                <w:szCs w:val="24"/>
              </w:rPr>
              <w:t>Rezultatīvais rādītājs “</w:t>
            </w:r>
            <w:r w:rsidRPr="002B356F">
              <w:rPr>
                <w:rFonts w:ascii="Times New Roman" w:eastAsia="Times New Roman" w:hAnsi="Times New Roman"/>
                <w:b/>
                <w:sz w:val="24"/>
                <w:szCs w:val="24"/>
                <w:lang w:eastAsia="lv-LV"/>
              </w:rPr>
              <w:t xml:space="preserve">Apgrozījums darījumiem ar Pievienotās vērtības nodokļa likuma 1.pielikumā noteiktajiem svaigiem augļiem, ogām un dārzeņiem salīdzinājumā </w:t>
            </w:r>
            <w:r>
              <w:rPr>
                <w:rFonts w:ascii="Times New Roman" w:eastAsia="Times New Roman" w:hAnsi="Times New Roman"/>
                <w:b/>
                <w:sz w:val="24"/>
                <w:szCs w:val="24"/>
                <w:lang w:eastAsia="lv-LV"/>
              </w:rPr>
              <w:t>ar</w:t>
            </w:r>
            <w:r w:rsidRPr="002B356F">
              <w:rPr>
                <w:rFonts w:ascii="Times New Roman" w:eastAsia="Times New Roman" w:hAnsi="Times New Roman"/>
                <w:b/>
                <w:sz w:val="24"/>
                <w:szCs w:val="24"/>
                <w:lang w:eastAsia="lv-LV"/>
              </w:rPr>
              <w:t xml:space="preserve"> apgrozījumu kopējiem darījumiem (neieskaitot darījumus ar Pievienotās vērtības </w:t>
            </w:r>
            <w:r w:rsidRPr="002B356F">
              <w:rPr>
                <w:rFonts w:ascii="Times New Roman" w:eastAsia="Times New Roman" w:hAnsi="Times New Roman"/>
                <w:b/>
                <w:sz w:val="24"/>
                <w:szCs w:val="24"/>
                <w:lang w:eastAsia="lv-LV"/>
              </w:rPr>
              <w:lastRenderedPageBreak/>
              <w:t>nodokļa likuma 1.</w:t>
            </w:r>
            <w:r>
              <w:rPr>
                <w:rFonts w:ascii="Times New Roman" w:eastAsia="Times New Roman" w:hAnsi="Times New Roman"/>
                <w:b/>
                <w:sz w:val="24"/>
                <w:szCs w:val="24"/>
                <w:lang w:eastAsia="lv-LV"/>
              </w:rPr>
              <w:t xml:space="preserve"> </w:t>
            </w:r>
            <w:r w:rsidRPr="002B356F">
              <w:rPr>
                <w:rFonts w:ascii="Times New Roman" w:eastAsia="Times New Roman" w:hAnsi="Times New Roman"/>
                <w:b/>
                <w:sz w:val="24"/>
                <w:szCs w:val="24"/>
                <w:lang w:eastAsia="lv-LV"/>
              </w:rPr>
              <w:t xml:space="preserve">pielikumā noteiktajiem svaigiem augļiem, ogām un dārzeņiem) ir lielāks par </w:t>
            </w:r>
            <w:r>
              <w:rPr>
                <w:rFonts w:ascii="Times New Roman" w:eastAsia="Times New Roman" w:hAnsi="Times New Roman"/>
                <w:b/>
                <w:sz w:val="24"/>
                <w:szCs w:val="24"/>
                <w:lang w:eastAsia="lv-LV"/>
              </w:rPr>
              <w:t>sešiem</w:t>
            </w:r>
            <w:r w:rsidRPr="002B356F">
              <w:rPr>
                <w:rFonts w:ascii="Times New Roman" w:eastAsia="Times New Roman" w:hAnsi="Times New Roman"/>
                <w:b/>
                <w:sz w:val="24"/>
                <w:szCs w:val="24"/>
                <w:lang w:eastAsia="lv-LV"/>
              </w:rPr>
              <w:t xml:space="preserve"> procentpunktiem (ik gadu)”</w:t>
            </w:r>
          </w:p>
        </w:tc>
      </w:tr>
      <w:tr w:rsidR="008C0243" w:rsidRPr="00441C7C" w14:paraId="7BB45886" w14:textId="77777777" w:rsidTr="00767149">
        <w:trPr>
          <w:jc w:val="center"/>
        </w:trPr>
        <w:tc>
          <w:tcPr>
            <w:tcW w:w="1470" w:type="dxa"/>
            <w:shd w:val="clear" w:color="auto" w:fill="auto"/>
          </w:tcPr>
          <w:p w14:paraId="31F5E414"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p>
        </w:tc>
        <w:tc>
          <w:tcPr>
            <w:tcW w:w="1363" w:type="dxa"/>
            <w:gridSpan w:val="2"/>
            <w:shd w:val="clear" w:color="auto" w:fill="auto"/>
          </w:tcPr>
          <w:p w14:paraId="413BB2CD"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2018./2017.</w:t>
            </w:r>
          </w:p>
          <w:p w14:paraId="2A472CA7"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gridSpan w:val="2"/>
            <w:shd w:val="clear" w:color="auto" w:fill="auto"/>
          </w:tcPr>
          <w:p w14:paraId="0788D5C4"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2019./2018.</w:t>
            </w:r>
          </w:p>
          <w:p w14:paraId="277D848A"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gridSpan w:val="2"/>
            <w:shd w:val="clear" w:color="auto" w:fill="auto"/>
          </w:tcPr>
          <w:p w14:paraId="15526ECA"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2020./2019.</w:t>
            </w:r>
          </w:p>
          <w:p w14:paraId="1670E7E5"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gridSpan w:val="2"/>
            <w:shd w:val="clear" w:color="auto" w:fill="auto"/>
          </w:tcPr>
          <w:p w14:paraId="047CEBA0"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1</w:t>
            </w:r>
            <w:r w:rsidRPr="002B356F">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0</w:t>
            </w:r>
            <w:r w:rsidRPr="002B356F">
              <w:rPr>
                <w:rFonts w:ascii="Times New Roman" w:eastAsia="Times New Roman" w:hAnsi="Times New Roman" w:cs="Times New Roman"/>
                <w:bCs/>
                <w:sz w:val="24"/>
                <w:szCs w:val="24"/>
              </w:rPr>
              <w:t>.</w:t>
            </w:r>
          </w:p>
          <w:p w14:paraId="47680BC7"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c>
          <w:tcPr>
            <w:tcW w:w="1557" w:type="dxa"/>
            <w:shd w:val="clear" w:color="auto" w:fill="auto"/>
          </w:tcPr>
          <w:p w14:paraId="7D98A309"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2021./2022.</w:t>
            </w:r>
          </w:p>
          <w:p w14:paraId="63B396FD"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gads</w:t>
            </w:r>
          </w:p>
        </w:tc>
      </w:tr>
      <w:tr w:rsidR="008C0243" w:rsidRPr="002B356F" w14:paraId="736DB097" w14:textId="77777777" w:rsidTr="00767149">
        <w:trPr>
          <w:jc w:val="center"/>
        </w:trPr>
        <w:tc>
          <w:tcPr>
            <w:tcW w:w="1470" w:type="dxa"/>
          </w:tcPr>
          <w:p w14:paraId="50B50D1B" w14:textId="77777777" w:rsidR="008C0243" w:rsidRPr="002B356F" w:rsidRDefault="008C0243" w:rsidP="00767149">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Rezultatīvais rādītājs, procenti</w:t>
            </w:r>
          </w:p>
        </w:tc>
        <w:tc>
          <w:tcPr>
            <w:tcW w:w="1363" w:type="dxa"/>
            <w:gridSpan w:val="2"/>
            <w:vAlign w:val="center"/>
          </w:tcPr>
          <w:p w14:paraId="4CC4AB89"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gridSpan w:val="2"/>
            <w:vAlign w:val="center"/>
          </w:tcPr>
          <w:p w14:paraId="2FF581BC"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gridSpan w:val="2"/>
            <w:vAlign w:val="center"/>
          </w:tcPr>
          <w:p w14:paraId="787ED067"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gridSpan w:val="2"/>
            <w:vAlign w:val="center"/>
          </w:tcPr>
          <w:p w14:paraId="340DE7B8"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c>
          <w:tcPr>
            <w:tcW w:w="1557" w:type="dxa"/>
            <w:vAlign w:val="center"/>
          </w:tcPr>
          <w:p w14:paraId="147F51B1" w14:textId="77777777" w:rsidR="008C0243" w:rsidRPr="002B356F" w:rsidRDefault="008C0243" w:rsidP="00767149">
            <w:pPr>
              <w:tabs>
                <w:tab w:val="left" w:pos="1134"/>
              </w:tabs>
              <w:jc w:val="center"/>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6</w:t>
            </w:r>
          </w:p>
        </w:tc>
      </w:tr>
      <w:tr w:rsidR="008C0243" w:rsidRPr="002B356F" w14:paraId="1C520491" w14:textId="77777777" w:rsidTr="00767149">
        <w:trPr>
          <w:jc w:val="center"/>
        </w:trPr>
        <w:tc>
          <w:tcPr>
            <w:tcW w:w="1470" w:type="dxa"/>
          </w:tcPr>
          <w:p w14:paraId="521C8106" w14:textId="77777777" w:rsidR="008C0243" w:rsidRPr="002B356F" w:rsidRDefault="008C0243" w:rsidP="00767149">
            <w:pPr>
              <w:tabs>
                <w:tab w:val="left" w:pos="1134"/>
              </w:tabs>
              <w:jc w:val="both"/>
              <w:rPr>
                <w:rFonts w:ascii="Times New Roman" w:eastAsia="Times New Roman" w:hAnsi="Times New Roman" w:cs="Times New Roman"/>
                <w:bCs/>
                <w:sz w:val="24"/>
                <w:szCs w:val="24"/>
              </w:rPr>
            </w:pPr>
            <w:r w:rsidRPr="002B356F">
              <w:rPr>
                <w:rFonts w:ascii="Times New Roman" w:eastAsia="Times New Roman" w:hAnsi="Times New Roman" w:cs="Times New Roman"/>
                <w:bCs/>
                <w:sz w:val="24"/>
                <w:szCs w:val="24"/>
              </w:rPr>
              <w:t>Izpilde, procenti</w:t>
            </w:r>
          </w:p>
        </w:tc>
        <w:tc>
          <w:tcPr>
            <w:tcW w:w="1363" w:type="dxa"/>
            <w:gridSpan w:val="2"/>
            <w:vAlign w:val="center"/>
          </w:tcPr>
          <w:p w14:paraId="2A8E99E0" w14:textId="77777777" w:rsidR="008C0243" w:rsidRPr="002B356F" w:rsidRDefault="008C0243" w:rsidP="00767149">
            <w:pPr>
              <w:tabs>
                <w:tab w:val="left" w:pos="1134"/>
              </w:tabs>
              <w:jc w:val="center"/>
              <w:rPr>
                <w:rFonts w:ascii="Times New Roman" w:eastAsia="Times New Roman" w:hAnsi="Times New Roman" w:cs="Times New Roman"/>
                <w:b/>
                <w:sz w:val="24"/>
                <w:szCs w:val="24"/>
              </w:rPr>
            </w:pPr>
            <w:r>
              <w:rPr>
                <w:rFonts w:ascii="Times New Roman" w:eastAsia="Times New Roman" w:hAnsi="Times New Roman" w:cs="Times New Roman"/>
                <w:b/>
                <w:color w:val="70AD47" w:themeColor="accent6"/>
                <w:sz w:val="24"/>
                <w:szCs w:val="24"/>
              </w:rPr>
              <w:t>+</w:t>
            </w:r>
            <w:r w:rsidRPr="002B356F">
              <w:rPr>
                <w:rFonts w:ascii="Times New Roman" w:eastAsia="Times New Roman" w:hAnsi="Times New Roman" w:cs="Times New Roman"/>
                <w:b/>
                <w:color w:val="70AD47" w:themeColor="accent6"/>
                <w:sz w:val="24"/>
                <w:szCs w:val="24"/>
              </w:rPr>
              <w:t>20</w:t>
            </w:r>
          </w:p>
        </w:tc>
        <w:tc>
          <w:tcPr>
            <w:tcW w:w="1557" w:type="dxa"/>
            <w:gridSpan w:val="2"/>
            <w:vAlign w:val="center"/>
          </w:tcPr>
          <w:p w14:paraId="3BB1DFEC" w14:textId="77777777" w:rsidR="008C0243" w:rsidRPr="002B356F" w:rsidRDefault="008C0243" w:rsidP="00767149">
            <w:pPr>
              <w:tabs>
                <w:tab w:val="left" w:pos="1134"/>
              </w:tabs>
              <w:jc w:val="center"/>
              <w:rPr>
                <w:rFonts w:ascii="Times New Roman" w:eastAsia="Times New Roman" w:hAnsi="Times New Roman" w:cs="Times New Roman"/>
                <w:b/>
                <w:color w:val="70AD47" w:themeColor="accent6"/>
                <w:sz w:val="24"/>
                <w:szCs w:val="24"/>
              </w:rPr>
            </w:pPr>
            <w:r>
              <w:rPr>
                <w:rFonts w:ascii="Times New Roman" w:eastAsia="Times New Roman" w:hAnsi="Times New Roman" w:cs="Times New Roman"/>
                <w:b/>
                <w:color w:val="70AD47" w:themeColor="accent6"/>
                <w:sz w:val="24"/>
                <w:szCs w:val="24"/>
              </w:rPr>
              <w:t>+</w:t>
            </w:r>
            <w:r w:rsidRPr="002B356F">
              <w:rPr>
                <w:rFonts w:ascii="Times New Roman" w:eastAsia="Times New Roman" w:hAnsi="Times New Roman" w:cs="Times New Roman"/>
                <w:b/>
                <w:color w:val="70AD47" w:themeColor="accent6"/>
                <w:sz w:val="24"/>
                <w:szCs w:val="24"/>
              </w:rPr>
              <w:t>9</w:t>
            </w:r>
          </w:p>
        </w:tc>
        <w:tc>
          <w:tcPr>
            <w:tcW w:w="1557" w:type="dxa"/>
            <w:gridSpan w:val="2"/>
            <w:vAlign w:val="center"/>
          </w:tcPr>
          <w:p w14:paraId="31E82765" w14:textId="6C49B9F8" w:rsidR="008C0243" w:rsidRPr="002B356F" w:rsidRDefault="005B00E3" w:rsidP="00767149">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8C0243" w:rsidRPr="002B356F">
              <w:rPr>
                <w:rFonts w:ascii="Times New Roman" w:eastAsia="Times New Roman" w:hAnsi="Times New Roman" w:cs="Times New Roman"/>
                <w:b/>
                <w:color w:val="FF0000"/>
                <w:sz w:val="24"/>
                <w:szCs w:val="24"/>
              </w:rPr>
              <w:t>5</w:t>
            </w:r>
          </w:p>
        </w:tc>
        <w:tc>
          <w:tcPr>
            <w:tcW w:w="1557" w:type="dxa"/>
            <w:gridSpan w:val="2"/>
            <w:vAlign w:val="center"/>
          </w:tcPr>
          <w:p w14:paraId="323C0C2F" w14:textId="77777777" w:rsidR="008C0243" w:rsidRPr="002B356F" w:rsidRDefault="008C0243" w:rsidP="00767149">
            <w:pPr>
              <w:tabs>
                <w:tab w:val="left" w:pos="1134"/>
              </w:tabs>
              <w:jc w:val="center"/>
              <w:rPr>
                <w:rFonts w:ascii="Times New Roman" w:eastAsia="Times New Roman" w:hAnsi="Times New Roman" w:cs="Times New Roman"/>
                <w:b/>
                <w:color w:val="E2EFD9" w:themeColor="accent6" w:themeTint="33"/>
                <w:sz w:val="24"/>
                <w:szCs w:val="24"/>
              </w:rPr>
            </w:pPr>
            <w:r>
              <w:rPr>
                <w:rFonts w:ascii="Times New Roman" w:eastAsia="Times New Roman" w:hAnsi="Times New Roman" w:cs="Times New Roman"/>
                <w:b/>
                <w:color w:val="70AD47" w:themeColor="accent6"/>
                <w:sz w:val="24"/>
                <w:szCs w:val="24"/>
              </w:rPr>
              <w:t>+</w:t>
            </w:r>
            <w:r w:rsidRPr="002B356F">
              <w:rPr>
                <w:rFonts w:ascii="Times New Roman" w:eastAsia="Times New Roman" w:hAnsi="Times New Roman" w:cs="Times New Roman"/>
                <w:b/>
                <w:color w:val="70AD47" w:themeColor="accent6"/>
                <w:sz w:val="24"/>
                <w:szCs w:val="24"/>
              </w:rPr>
              <w:t>9</w:t>
            </w:r>
          </w:p>
        </w:tc>
        <w:tc>
          <w:tcPr>
            <w:tcW w:w="1557" w:type="dxa"/>
            <w:vAlign w:val="center"/>
          </w:tcPr>
          <w:p w14:paraId="44AC2D48" w14:textId="77777777" w:rsidR="008C0243" w:rsidRPr="002B356F" w:rsidRDefault="008C0243" w:rsidP="00767149">
            <w:pPr>
              <w:tabs>
                <w:tab w:val="left" w:pos="1134"/>
              </w:tabs>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Pr="002B356F">
              <w:rPr>
                <w:rFonts w:ascii="Times New Roman" w:eastAsia="Times New Roman" w:hAnsi="Times New Roman" w:cs="Times New Roman"/>
                <w:b/>
                <w:color w:val="FF0000"/>
                <w:sz w:val="24"/>
                <w:szCs w:val="24"/>
              </w:rPr>
              <w:t>4</w:t>
            </w:r>
          </w:p>
        </w:tc>
      </w:tr>
      <w:tr w:rsidR="008C0243" w:rsidRPr="003378FD" w14:paraId="38B70910" w14:textId="77777777" w:rsidTr="00767149">
        <w:trPr>
          <w:jc w:val="center"/>
        </w:trPr>
        <w:tc>
          <w:tcPr>
            <w:tcW w:w="1470" w:type="dxa"/>
          </w:tcPr>
          <w:p w14:paraId="1185E740" w14:textId="77777777" w:rsidR="008C0243" w:rsidRPr="002B356F" w:rsidRDefault="008C0243" w:rsidP="00767149">
            <w:pPr>
              <w:tabs>
                <w:tab w:val="left" w:pos="1134"/>
              </w:tabs>
              <w:jc w:val="center"/>
              <w:rPr>
                <w:rFonts w:ascii="Times New Roman" w:eastAsia="Times New Roman" w:hAnsi="Times New Roman" w:cs="Times New Roman"/>
                <w:b/>
                <w:i/>
                <w:iCs/>
                <w:sz w:val="24"/>
                <w:szCs w:val="24"/>
              </w:rPr>
            </w:pPr>
          </w:p>
        </w:tc>
        <w:tc>
          <w:tcPr>
            <w:tcW w:w="7591" w:type="dxa"/>
            <w:gridSpan w:val="9"/>
          </w:tcPr>
          <w:p w14:paraId="59053B0B" w14:textId="77777777" w:rsidR="008C0243" w:rsidRPr="003378FD" w:rsidRDefault="008C0243" w:rsidP="00767149">
            <w:pPr>
              <w:tabs>
                <w:tab w:val="left" w:pos="1134"/>
              </w:tabs>
              <w:jc w:val="center"/>
              <w:rPr>
                <w:rFonts w:ascii="Times New Roman" w:eastAsia="Times New Roman" w:hAnsi="Times New Roman" w:cs="Times New Roman"/>
                <w:b/>
                <w:i/>
                <w:iCs/>
                <w:sz w:val="24"/>
                <w:szCs w:val="24"/>
              </w:rPr>
            </w:pPr>
            <w:r w:rsidRPr="002B356F">
              <w:rPr>
                <w:rFonts w:ascii="Times New Roman" w:eastAsia="Times New Roman" w:hAnsi="Times New Roman" w:cs="Times New Roman"/>
                <w:b/>
                <w:i/>
                <w:iCs/>
                <w:sz w:val="24"/>
                <w:szCs w:val="24"/>
              </w:rPr>
              <w:t>Izpildīts daļēji</w:t>
            </w:r>
            <w:r>
              <w:rPr>
                <w:rFonts w:ascii="Times New Roman" w:eastAsia="Times New Roman" w:hAnsi="Times New Roman" w:cs="Times New Roman"/>
                <w:b/>
                <w:i/>
                <w:iCs/>
                <w:sz w:val="24"/>
                <w:szCs w:val="24"/>
              </w:rPr>
              <w:t>.</w:t>
            </w:r>
          </w:p>
        </w:tc>
      </w:tr>
      <w:tr w:rsidR="00CD14C9" w14:paraId="33C3EAA6" w14:textId="77777777" w:rsidTr="00767149">
        <w:trPr>
          <w:jc w:val="center"/>
        </w:trPr>
        <w:tc>
          <w:tcPr>
            <w:tcW w:w="9061" w:type="dxa"/>
            <w:gridSpan w:val="10"/>
          </w:tcPr>
          <w:p w14:paraId="5713F5A7" w14:textId="77777777" w:rsidR="00CD14C9" w:rsidRPr="009A6EC4" w:rsidRDefault="00CD14C9" w:rsidP="00767149">
            <w:pPr>
              <w:tabs>
                <w:tab w:val="left" w:pos="1134"/>
              </w:tabs>
              <w:spacing w:after="120"/>
              <w:jc w:val="both"/>
              <w:rPr>
                <w:rFonts w:ascii="Times New Roman" w:eastAsia="Times New Roman" w:hAnsi="Times New Roman" w:cs="Times New Roman"/>
                <w:b/>
                <w:sz w:val="24"/>
                <w:szCs w:val="24"/>
              </w:rPr>
            </w:pPr>
            <w:r w:rsidRPr="009A6EC4">
              <w:rPr>
                <w:rFonts w:ascii="Times New Roman" w:eastAsia="Times New Roman" w:hAnsi="Times New Roman" w:cs="Times New Roman"/>
                <w:b/>
                <w:sz w:val="24"/>
                <w:szCs w:val="24"/>
              </w:rPr>
              <w:t>Rezultatīvais rādītājs “Ēnu ekonomika ir mazinājusies (ik gadu)</w:t>
            </w:r>
            <w:r>
              <w:rPr>
                <w:rFonts w:ascii="Times New Roman" w:eastAsia="Times New Roman" w:hAnsi="Times New Roman" w:cs="Times New Roman"/>
                <w:b/>
                <w:sz w:val="24"/>
                <w:szCs w:val="24"/>
              </w:rPr>
              <w:t>”</w:t>
            </w:r>
          </w:p>
        </w:tc>
      </w:tr>
      <w:tr w:rsidR="00D8088C" w14:paraId="7BF6B989" w14:textId="77777777" w:rsidTr="004C1FD3">
        <w:trPr>
          <w:trHeight w:val="888"/>
          <w:jc w:val="center"/>
        </w:trPr>
        <w:tc>
          <w:tcPr>
            <w:tcW w:w="9061" w:type="dxa"/>
            <w:gridSpan w:val="10"/>
          </w:tcPr>
          <w:p w14:paraId="27311647" w14:textId="080E1E81" w:rsidR="001D3ED3" w:rsidRPr="00CB6333" w:rsidRDefault="001D3ED3" w:rsidP="001D3ED3">
            <w:pPr>
              <w:pStyle w:val="ListParagraph"/>
              <w:numPr>
                <w:ilvl w:val="0"/>
                <w:numId w:val="41"/>
              </w:num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PVD</w:t>
            </w:r>
            <w:r w:rsidRPr="002074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pārbaudēs</w:t>
            </w:r>
            <w:r w:rsidRPr="002074B6">
              <w:rPr>
                <w:rFonts w:ascii="Times New Roman" w:eastAsia="Times New Roman" w:hAnsi="Times New Roman" w:cs="Times New Roman"/>
                <w:sz w:val="24"/>
                <w:szCs w:val="24"/>
              </w:rPr>
              <w:t xml:space="preserve"> konstatēt</w:t>
            </w:r>
            <w:r>
              <w:rPr>
                <w:rFonts w:ascii="Times New Roman" w:eastAsia="Times New Roman" w:hAnsi="Times New Roman" w:cs="Times New Roman"/>
                <w:sz w:val="24"/>
                <w:szCs w:val="24"/>
              </w:rPr>
              <w:t xml:space="preserve">o neatbilstību skaits </w:t>
            </w:r>
            <w:r>
              <w:rPr>
                <w:rFonts w:ascii="Times New Roman" w:hAnsi="Times New Roman" w:cs="Times New Roman"/>
                <w:sz w:val="24"/>
                <w:szCs w:val="24"/>
              </w:rPr>
              <w:t>no 2017. līdz 2022. gadam</w:t>
            </w:r>
            <w:r>
              <w:rPr>
                <w:rFonts w:ascii="Times New Roman" w:eastAsia="Times New Roman" w:hAnsi="Times New Roman" w:cs="Times New Roman"/>
                <w:sz w:val="24"/>
                <w:szCs w:val="24"/>
              </w:rPr>
              <w:t xml:space="preserve"> ievērojami samazinājies – </w:t>
            </w:r>
            <w:r w:rsidRPr="002074B6">
              <w:rPr>
                <w:rFonts w:ascii="Times New Roman" w:eastAsia="Times New Roman" w:hAnsi="Times New Roman" w:cs="Times New Roman"/>
                <w:sz w:val="24"/>
                <w:szCs w:val="24"/>
              </w:rPr>
              <w:t>par 30</w:t>
            </w:r>
            <w:r>
              <w:rPr>
                <w:rFonts w:ascii="Times New Roman" w:eastAsia="Times New Roman" w:hAnsi="Times New Roman" w:cs="Times New Roman"/>
                <w:sz w:val="24"/>
                <w:szCs w:val="24"/>
              </w:rPr>
              <w:t xml:space="preserve"> procentpunktiem</w:t>
            </w:r>
            <w:r w:rsidR="00EC1371">
              <w:rPr>
                <w:rFonts w:ascii="Times New Roman" w:eastAsia="Times New Roman" w:hAnsi="Times New Roman" w:cs="Times New Roman"/>
                <w:sz w:val="24"/>
                <w:szCs w:val="24"/>
              </w:rPr>
              <w:t>;</w:t>
            </w:r>
          </w:p>
          <w:p w14:paraId="7DB3DC40" w14:textId="1A2CB363" w:rsidR="00AD580A" w:rsidRPr="009F200F" w:rsidRDefault="00AD580A" w:rsidP="00AD580A">
            <w:pPr>
              <w:pStyle w:val="ListParagraph"/>
              <w:numPr>
                <w:ilvl w:val="0"/>
                <w:numId w:val="41"/>
              </w:numPr>
              <w:tabs>
                <w:tab w:val="left" w:pos="1134"/>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PVN reģistrēto nodokļu maksātāju skaits </w:t>
            </w:r>
            <w:r w:rsidRPr="003F4499">
              <w:rPr>
                <w:rFonts w:ascii="Times New Roman" w:eastAsia="Times New Roman" w:hAnsi="Times New Roman" w:cs="Times New Roman"/>
                <w:sz w:val="24"/>
                <w:szCs w:val="24"/>
              </w:rPr>
              <w:t>augļu, ogu un dārzeņu audzētāju</w:t>
            </w:r>
            <w:r>
              <w:rPr>
                <w:rFonts w:ascii="Times New Roman" w:eastAsia="Times New Roman" w:hAnsi="Times New Roman" w:cs="Times New Roman"/>
                <w:sz w:val="24"/>
                <w:szCs w:val="24"/>
              </w:rPr>
              <w:t xml:space="preserve"> un augļu un dārzeņu pārstrādes nozarē no 2017. līdz 2022. gadam ir palielinājies par 18,2 %</w:t>
            </w:r>
            <w:r w:rsidR="00EC1371">
              <w:rPr>
                <w:rFonts w:ascii="Times New Roman" w:eastAsia="Times New Roman" w:hAnsi="Times New Roman" w:cs="Times New Roman"/>
                <w:sz w:val="24"/>
                <w:szCs w:val="24"/>
              </w:rPr>
              <w:t>;</w:t>
            </w:r>
          </w:p>
          <w:p w14:paraId="077FC8F7" w14:textId="77777777" w:rsidR="00D8088C" w:rsidRPr="00EC1371" w:rsidRDefault="00AD580A" w:rsidP="00CD14C9">
            <w:pPr>
              <w:pStyle w:val="ListParagraph"/>
              <w:numPr>
                <w:ilvl w:val="0"/>
                <w:numId w:val="41"/>
              </w:numPr>
              <w:tabs>
                <w:tab w:val="left" w:pos="1134"/>
              </w:tabs>
              <w:jc w:val="both"/>
              <w:rPr>
                <w:rFonts w:ascii="Times New Roman" w:eastAsia="Times New Roman" w:hAnsi="Times New Roman" w:cs="Times New Roman"/>
                <w:sz w:val="24"/>
                <w:szCs w:val="24"/>
              </w:rPr>
            </w:pPr>
            <w:r w:rsidRPr="008B60BD">
              <w:rPr>
                <w:rFonts w:ascii="Times New Roman" w:eastAsia="Times New Roman" w:hAnsi="Times New Roman" w:cs="Times New Roman"/>
                <w:color w:val="000000" w:themeColor="text1"/>
                <w:sz w:val="24"/>
                <w:szCs w:val="24"/>
              </w:rPr>
              <w:t>Vidējais darba ņēmēju skaits periodos, kuros tie saņēma darba ienākumus, augļkopības un dārzeņkopības nozarē</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no 2017. līdz 2022. gadam</w:t>
            </w:r>
            <w:r>
              <w:rPr>
                <w:rFonts w:ascii="Times New Roman" w:eastAsia="Times New Roman" w:hAnsi="Times New Roman" w:cs="Times New Roman"/>
                <w:color w:val="000000" w:themeColor="text1"/>
                <w:sz w:val="24"/>
                <w:szCs w:val="24"/>
              </w:rPr>
              <w:t xml:space="preserve"> ir palielinājies par 9,2 %</w:t>
            </w:r>
            <w:r w:rsidR="00EC1371">
              <w:rPr>
                <w:rFonts w:ascii="Times New Roman" w:eastAsia="Times New Roman" w:hAnsi="Times New Roman" w:cs="Times New Roman"/>
                <w:color w:val="000000" w:themeColor="text1"/>
                <w:sz w:val="24"/>
                <w:szCs w:val="24"/>
              </w:rPr>
              <w:t>;</w:t>
            </w:r>
          </w:p>
          <w:p w14:paraId="2F43D44A" w14:textId="2133FA56" w:rsidR="00EC1371" w:rsidRPr="00EC1371" w:rsidRDefault="00EC1371" w:rsidP="00EC1371">
            <w:pPr>
              <w:pStyle w:val="ListParagraph"/>
              <w:numPr>
                <w:ilvl w:val="0"/>
                <w:numId w:val="41"/>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Pr="00720DE1">
              <w:rPr>
                <w:rFonts w:ascii="Times New Roman" w:eastAsia="Times New Roman" w:hAnsi="Times New Roman" w:cs="Times New Roman"/>
                <w:bCs/>
                <w:sz w:val="24"/>
                <w:szCs w:val="24"/>
              </w:rPr>
              <w:t>darbavietu īpatsvars, kurās vidējais darba bruto ienākumu apmērs ir mazāks par valstī noteikto minimālo algu</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no 2018. līdz 2022. gadam</w:t>
            </w:r>
            <w:r>
              <w:rPr>
                <w:rFonts w:ascii="Times New Roman" w:eastAsia="Times New Roman" w:hAnsi="Times New Roman" w:cs="Times New Roman"/>
                <w:bCs/>
                <w:sz w:val="24"/>
                <w:szCs w:val="24"/>
              </w:rPr>
              <w:t xml:space="preserve"> ir samazinājies</w:t>
            </w:r>
            <w:r w:rsidRPr="00720DE1">
              <w:rPr>
                <w:rFonts w:ascii="Times New Roman" w:eastAsia="Times New Roman" w:hAnsi="Times New Roman" w:cs="Times New Roman"/>
                <w:bCs/>
                <w:sz w:val="24"/>
                <w:szCs w:val="24"/>
              </w:rPr>
              <w:t xml:space="preserve"> par </w:t>
            </w:r>
            <w:r>
              <w:rPr>
                <w:rFonts w:ascii="Times New Roman" w:eastAsia="Times New Roman" w:hAnsi="Times New Roman" w:cs="Times New Roman"/>
                <w:bCs/>
                <w:sz w:val="24"/>
                <w:szCs w:val="24"/>
              </w:rPr>
              <w:t>sešiem procentpunktiem;</w:t>
            </w:r>
          </w:p>
          <w:p w14:paraId="63C5A88E" w14:textId="7BFD0214" w:rsidR="00EC1371" w:rsidRPr="003C0C84" w:rsidRDefault="00EC1371" w:rsidP="00EC1371">
            <w:pPr>
              <w:pStyle w:val="ListParagraph"/>
              <w:numPr>
                <w:ilvl w:val="0"/>
                <w:numId w:val="41"/>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Pr="003C0C84">
              <w:rPr>
                <w:rFonts w:ascii="Times New Roman" w:eastAsia="Times New Roman" w:hAnsi="Times New Roman" w:cs="Times New Roman"/>
                <w:bCs/>
                <w:sz w:val="24"/>
                <w:szCs w:val="24"/>
              </w:rPr>
              <w:t>darbavietu īpatsvars, kurās vidējie darba bruto ienākumi ir vienādi ar valstī noteikto minimālo darba algu</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no 2018. līdz 2022. gadam</w:t>
            </w:r>
            <w:r>
              <w:rPr>
                <w:rFonts w:ascii="Times New Roman" w:eastAsia="Times New Roman" w:hAnsi="Times New Roman" w:cs="Times New Roman"/>
                <w:bCs/>
                <w:sz w:val="24"/>
                <w:szCs w:val="24"/>
              </w:rPr>
              <w:t xml:space="preserve"> </w:t>
            </w:r>
            <w:r w:rsidRPr="003C0C84">
              <w:rPr>
                <w:rFonts w:ascii="Times New Roman" w:eastAsia="Times New Roman" w:hAnsi="Times New Roman" w:cs="Times New Roman"/>
                <w:bCs/>
                <w:sz w:val="24"/>
                <w:szCs w:val="24"/>
              </w:rPr>
              <w:t xml:space="preserve">ir pieaudzis par </w:t>
            </w:r>
            <w:r>
              <w:rPr>
                <w:rFonts w:ascii="Times New Roman" w:eastAsia="Times New Roman" w:hAnsi="Times New Roman" w:cs="Times New Roman"/>
                <w:bCs/>
                <w:sz w:val="24"/>
                <w:szCs w:val="24"/>
              </w:rPr>
              <w:t>četriem</w:t>
            </w:r>
            <w:r w:rsidRPr="003C0C84">
              <w:rPr>
                <w:rFonts w:ascii="Times New Roman" w:eastAsia="Times New Roman" w:hAnsi="Times New Roman" w:cs="Times New Roman"/>
                <w:bCs/>
                <w:sz w:val="24"/>
                <w:szCs w:val="24"/>
              </w:rPr>
              <w:t xml:space="preserve"> procentpunkt</w:t>
            </w:r>
            <w:r>
              <w:rPr>
                <w:rFonts w:ascii="Times New Roman" w:eastAsia="Times New Roman" w:hAnsi="Times New Roman" w:cs="Times New Roman"/>
                <w:bCs/>
                <w:sz w:val="24"/>
                <w:szCs w:val="24"/>
              </w:rPr>
              <w:t>iem;</w:t>
            </w:r>
          </w:p>
          <w:p w14:paraId="05E6FFA0" w14:textId="2E8EDE39" w:rsidR="00EC1371" w:rsidRPr="00C6069D" w:rsidRDefault="00EC1371" w:rsidP="00EC1371">
            <w:pPr>
              <w:pStyle w:val="ListParagraph"/>
              <w:numPr>
                <w:ilvl w:val="0"/>
                <w:numId w:val="41"/>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darbavietu īpatsvars, kurā vidējais darba bruto ienākumu apmērs ir no valstī noteiktās minimālās darba algas līdz 1000 </w:t>
            </w:r>
            <w:proofErr w:type="spellStart"/>
            <w:r w:rsidRPr="00EA0EA4">
              <w:rPr>
                <w:rFonts w:ascii="Times New Roman" w:eastAsia="Times New Roman" w:hAnsi="Times New Roman" w:cs="Times New Roman"/>
                <w:bCs/>
                <w:i/>
                <w:iCs/>
                <w:sz w:val="24"/>
                <w:szCs w:val="24"/>
              </w:rPr>
              <w:t>euro</w:t>
            </w:r>
            <w:proofErr w:type="spellEnd"/>
            <w:r w:rsidRPr="00B139B6">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sz w:val="24"/>
                <w:szCs w:val="24"/>
              </w:rPr>
              <w:t>no 2018. līdz 2022. gadam</w:t>
            </w:r>
            <w:r>
              <w:rPr>
                <w:rFonts w:ascii="Times New Roman" w:eastAsia="Times New Roman" w:hAnsi="Times New Roman" w:cs="Times New Roman"/>
                <w:bCs/>
                <w:i/>
                <w:iCs/>
                <w:sz w:val="24"/>
                <w:szCs w:val="24"/>
              </w:rPr>
              <w:t xml:space="preserve"> </w:t>
            </w:r>
            <w:r w:rsidRPr="00C6069D">
              <w:rPr>
                <w:rFonts w:ascii="Times New Roman" w:eastAsia="Times New Roman" w:hAnsi="Times New Roman" w:cs="Times New Roman"/>
                <w:bCs/>
                <w:sz w:val="24"/>
                <w:szCs w:val="24"/>
              </w:rPr>
              <w:t xml:space="preserve">ir samazinājies par </w:t>
            </w:r>
            <w:r>
              <w:rPr>
                <w:rFonts w:ascii="Times New Roman" w:eastAsia="Times New Roman" w:hAnsi="Times New Roman" w:cs="Times New Roman"/>
                <w:bCs/>
                <w:sz w:val="24"/>
                <w:szCs w:val="24"/>
              </w:rPr>
              <w:t xml:space="preserve">septiņiem </w:t>
            </w:r>
            <w:r w:rsidRPr="00C6069D">
              <w:rPr>
                <w:rFonts w:ascii="Times New Roman" w:eastAsia="Times New Roman" w:hAnsi="Times New Roman" w:cs="Times New Roman"/>
                <w:bCs/>
                <w:sz w:val="24"/>
                <w:szCs w:val="24"/>
              </w:rPr>
              <w:t>procentpunktiem</w:t>
            </w:r>
            <w:r>
              <w:rPr>
                <w:rFonts w:ascii="Times New Roman" w:eastAsia="Times New Roman" w:hAnsi="Times New Roman" w:cs="Times New Roman"/>
                <w:bCs/>
                <w:sz w:val="24"/>
                <w:szCs w:val="24"/>
              </w:rPr>
              <w:t>;</w:t>
            </w:r>
          </w:p>
          <w:p w14:paraId="7EC20AF1" w14:textId="6C9BB0E7" w:rsidR="00EC1371" w:rsidRPr="00EC1371" w:rsidRDefault="00EC1371" w:rsidP="00EC1371">
            <w:pPr>
              <w:pStyle w:val="ListParagraph"/>
              <w:numPr>
                <w:ilvl w:val="0"/>
                <w:numId w:val="41"/>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Pr="00C6069D">
              <w:rPr>
                <w:rFonts w:ascii="Times New Roman" w:eastAsia="Times New Roman" w:hAnsi="Times New Roman" w:cs="Times New Roman"/>
                <w:bCs/>
                <w:sz w:val="24"/>
                <w:szCs w:val="24"/>
              </w:rPr>
              <w:t xml:space="preserve">darbavietu īpatsvars, kurās vidējais darba bruto ienākumu apmērs ir virs 1000 </w:t>
            </w:r>
            <w:proofErr w:type="spellStart"/>
            <w:r w:rsidRPr="00C6069D">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i/>
                <w:iCs/>
                <w:sz w:val="24"/>
                <w:szCs w:val="24"/>
              </w:rPr>
              <w:t>,</w:t>
            </w:r>
            <w:r w:rsidRPr="00C6069D">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no 2018. līdz 2022. gadam</w:t>
            </w:r>
            <w:r>
              <w:rPr>
                <w:rFonts w:ascii="Times New Roman" w:eastAsia="Times New Roman" w:hAnsi="Times New Roman" w:cs="Times New Roman"/>
                <w:bCs/>
                <w:sz w:val="24"/>
                <w:szCs w:val="24"/>
              </w:rPr>
              <w:t xml:space="preserve"> </w:t>
            </w:r>
            <w:r w:rsidRPr="00C6069D">
              <w:rPr>
                <w:rFonts w:ascii="Times New Roman" w:eastAsia="Times New Roman" w:hAnsi="Times New Roman" w:cs="Times New Roman"/>
                <w:bCs/>
                <w:sz w:val="24"/>
                <w:szCs w:val="24"/>
              </w:rPr>
              <w:t>ir p</w:t>
            </w:r>
            <w:r>
              <w:rPr>
                <w:rFonts w:ascii="Times New Roman" w:eastAsia="Times New Roman" w:hAnsi="Times New Roman" w:cs="Times New Roman"/>
                <w:bCs/>
                <w:sz w:val="24"/>
                <w:szCs w:val="24"/>
              </w:rPr>
              <w:t>alielinājies</w:t>
            </w:r>
            <w:r w:rsidRPr="00C6069D">
              <w:rPr>
                <w:rFonts w:ascii="Times New Roman" w:eastAsia="Times New Roman" w:hAnsi="Times New Roman" w:cs="Times New Roman"/>
                <w:bCs/>
                <w:sz w:val="24"/>
                <w:szCs w:val="24"/>
              </w:rPr>
              <w:t xml:space="preserve"> par 11 procentpunktiem</w:t>
            </w:r>
            <w:r>
              <w:rPr>
                <w:rFonts w:ascii="Times New Roman" w:eastAsia="Times New Roman" w:hAnsi="Times New Roman" w:cs="Times New Roman"/>
                <w:bCs/>
                <w:sz w:val="24"/>
                <w:szCs w:val="24"/>
              </w:rPr>
              <w:t>;</w:t>
            </w:r>
          </w:p>
          <w:p w14:paraId="4F06EC1A" w14:textId="6148474E" w:rsidR="00EC1371" w:rsidRDefault="00EC1371" w:rsidP="00EC1371">
            <w:pPr>
              <w:pStyle w:val="ListParagraph"/>
              <w:numPr>
                <w:ilvl w:val="0"/>
                <w:numId w:val="41"/>
              </w:num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Pr="009E4FE7">
              <w:rPr>
                <w:rFonts w:ascii="Times New Roman" w:eastAsia="Times New Roman" w:hAnsi="Times New Roman" w:cs="Times New Roman"/>
                <w:sz w:val="24"/>
                <w:szCs w:val="24"/>
              </w:rPr>
              <w:t>darba devēju īpatsvars, kuri aprēķina mazākus</w:t>
            </w:r>
            <w:r w:rsidRPr="009E4FE7" w:rsidDel="00FD7301">
              <w:rPr>
                <w:rFonts w:ascii="Times New Roman" w:eastAsia="Times New Roman" w:hAnsi="Times New Roman" w:cs="Times New Roman"/>
                <w:sz w:val="24"/>
                <w:szCs w:val="24"/>
              </w:rPr>
              <w:t xml:space="preserve"> </w:t>
            </w:r>
            <w:r w:rsidRPr="009E4FE7">
              <w:rPr>
                <w:rFonts w:ascii="Times New Roman" w:eastAsia="Times New Roman" w:hAnsi="Times New Roman" w:cs="Times New Roman"/>
                <w:sz w:val="24"/>
                <w:szCs w:val="24"/>
              </w:rPr>
              <w:t xml:space="preserve">darba bruto ienākumus </w:t>
            </w:r>
            <w:r>
              <w:rPr>
                <w:rFonts w:ascii="Times New Roman" w:eastAsia="Times New Roman" w:hAnsi="Times New Roman" w:cs="Times New Roman"/>
                <w:sz w:val="24"/>
                <w:szCs w:val="24"/>
              </w:rPr>
              <w:t>nekā</w:t>
            </w:r>
            <w:r w:rsidRPr="009E4FE7">
              <w:rPr>
                <w:rFonts w:ascii="Times New Roman" w:eastAsia="Times New Roman" w:hAnsi="Times New Roman" w:cs="Times New Roman"/>
                <w:sz w:val="24"/>
                <w:szCs w:val="24"/>
              </w:rPr>
              <w:t xml:space="preserve"> valstī noteikt</w:t>
            </w:r>
            <w:r>
              <w:rPr>
                <w:rFonts w:ascii="Times New Roman" w:eastAsia="Times New Roman" w:hAnsi="Times New Roman" w:cs="Times New Roman"/>
                <w:sz w:val="24"/>
                <w:szCs w:val="24"/>
              </w:rPr>
              <w:t xml:space="preserve">ā </w:t>
            </w:r>
            <w:r w:rsidRPr="009E4FE7">
              <w:rPr>
                <w:rFonts w:ascii="Times New Roman" w:eastAsia="Times New Roman" w:hAnsi="Times New Roman" w:cs="Times New Roman"/>
                <w:sz w:val="24"/>
                <w:szCs w:val="24"/>
              </w:rPr>
              <w:t>minimāl</w:t>
            </w:r>
            <w:r>
              <w:rPr>
                <w:rFonts w:ascii="Times New Roman" w:eastAsia="Times New Roman" w:hAnsi="Times New Roman" w:cs="Times New Roman"/>
                <w:sz w:val="24"/>
                <w:szCs w:val="24"/>
              </w:rPr>
              <w:t>ā</w:t>
            </w:r>
            <w:r w:rsidRPr="009E4FE7">
              <w:rPr>
                <w:rFonts w:ascii="Times New Roman" w:eastAsia="Times New Roman" w:hAnsi="Times New Roman" w:cs="Times New Roman"/>
                <w:sz w:val="24"/>
                <w:szCs w:val="24"/>
              </w:rPr>
              <w:t xml:space="preserve"> darba alg</w:t>
            </w:r>
            <w:r>
              <w:rPr>
                <w:rFonts w:ascii="Times New Roman" w:eastAsia="Times New Roman" w:hAnsi="Times New Roman" w:cs="Times New Roman"/>
                <w:sz w:val="24"/>
                <w:szCs w:val="24"/>
              </w:rPr>
              <w:t>a</w:t>
            </w:r>
            <w:r w:rsidRPr="009E4F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2018. līdz 2022. gadam</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ir samazinājies </w:t>
            </w:r>
            <w:r w:rsidRPr="009E4FE7">
              <w:rPr>
                <w:rFonts w:ascii="Times New Roman" w:eastAsia="Times New Roman" w:hAnsi="Times New Roman" w:cs="Times New Roman"/>
                <w:sz w:val="24"/>
                <w:szCs w:val="24"/>
              </w:rPr>
              <w:t>par 15</w:t>
            </w:r>
            <w:r>
              <w:rPr>
                <w:rFonts w:ascii="Times New Roman" w:eastAsia="Times New Roman" w:hAnsi="Times New Roman" w:cs="Times New Roman"/>
                <w:sz w:val="24"/>
                <w:szCs w:val="24"/>
              </w:rPr>
              <w:t> </w:t>
            </w:r>
            <w:r w:rsidRPr="009E4FE7">
              <w:rPr>
                <w:rFonts w:ascii="Times New Roman" w:eastAsia="Times New Roman" w:hAnsi="Times New Roman" w:cs="Times New Roman"/>
                <w:sz w:val="24"/>
                <w:szCs w:val="24"/>
              </w:rPr>
              <w:t>procentpunktiem</w:t>
            </w:r>
          </w:p>
          <w:p w14:paraId="579C8121" w14:textId="211E323B" w:rsidR="00EC1371" w:rsidRPr="002F0A8A" w:rsidRDefault="00EC1371" w:rsidP="00EC1371">
            <w:pPr>
              <w:pStyle w:val="ListParagraph"/>
              <w:numPr>
                <w:ilvl w:val="0"/>
                <w:numId w:val="41"/>
              </w:num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to </w:t>
            </w:r>
            <w:r w:rsidRPr="002F0A8A">
              <w:rPr>
                <w:rFonts w:ascii="Times New Roman" w:eastAsia="Times New Roman" w:hAnsi="Times New Roman" w:cs="Times New Roman"/>
                <w:bCs/>
                <w:sz w:val="24"/>
                <w:szCs w:val="24"/>
              </w:rPr>
              <w:t>darba devēju īpatsvars, kuri aprēķina ar valstī noteikto minimālo darba algu vienādus darba bruto ienākumus</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no 2018. līdz 2022. gadam</w:t>
            </w:r>
            <w:r>
              <w:rPr>
                <w:rFonts w:ascii="Times New Roman" w:eastAsia="Times New Roman" w:hAnsi="Times New Roman" w:cs="Times New Roman"/>
                <w:bCs/>
                <w:sz w:val="24"/>
                <w:szCs w:val="24"/>
              </w:rPr>
              <w:t xml:space="preserve"> ir palielinājies par sešiem</w:t>
            </w:r>
            <w:r w:rsidRPr="002F0A8A">
              <w:rPr>
                <w:rFonts w:ascii="Times New Roman" w:eastAsia="Times New Roman" w:hAnsi="Times New Roman" w:cs="Times New Roman"/>
                <w:bCs/>
                <w:sz w:val="24"/>
                <w:szCs w:val="24"/>
              </w:rPr>
              <w:t xml:space="preserve"> procentpunkti</w:t>
            </w:r>
            <w:r>
              <w:rPr>
                <w:rFonts w:ascii="Times New Roman" w:eastAsia="Times New Roman" w:hAnsi="Times New Roman" w:cs="Times New Roman"/>
                <w:bCs/>
                <w:sz w:val="24"/>
                <w:szCs w:val="24"/>
              </w:rPr>
              <w:t>em</w:t>
            </w:r>
          </w:p>
          <w:p w14:paraId="2A12A71B" w14:textId="5283138C" w:rsidR="00EC1371" w:rsidRPr="00D00883" w:rsidRDefault="00EC1371" w:rsidP="00EC1371">
            <w:pPr>
              <w:pStyle w:val="ListParagraph"/>
              <w:numPr>
                <w:ilvl w:val="0"/>
                <w:numId w:val="41"/>
              </w:numPr>
              <w:tabs>
                <w:tab w:val="left" w:pos="1134"/>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to darba devēju īpatsvars, </w:t>
            </w:r>
            <w:r w:rsidRPr="00713CFA">
              <w:rPr>
                <w:rFonts w:ascii="Times New Roman" w:eastAsia="Times New Roman" w:hAnsi="Times New Roman" w:cs="Times New Roman"/>
                <w:bCs/>
                <w:sz w:val="24"/>
                <w:szCs w:val="24"/>
              </w:rPr>
              <w:t xml:space="preserve">kuri aprēķina darba bruto ienākumus no valstī noteiktās minimālās darba algas līdz 1000 </w:t>
            </w:r>
            <w:proofErr w:type="spellStart"/>
            <w:r w:rsidRPr="00713CFA">
              <w:rPr>
                <w:rFonts w:ascii="Times New Roman" w:eastAsia="Times New Roman" w:hAnsi="Times New Roman" w:cs="Times New Roman"/>
                <w:bCs/>
                <w:i/>
                <w:iCs/>
                <w:sz w:val="24"/>
                <w:szCs w:val="24"/>
              </w:rPr>
              <w:t>euro</w:t>
            </w:r>
            <w:proofErr w:type="spellEnd"/>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no 2018. līdz 2022. gadam</w:t>
            </w:r>
            <w:r>
              <w:rPr>
                <w:rFonts w:ascii="Times New Roman" w:eastAsia="Times New Roman" w:hAnsi="Times New Roman" w:cs="Times New Roman"/>
                <w:bCs/>
                <w:sz w:val="24"/>
                <w:szCs w:val="24"/>
              </w:rPr>
              <w:t xml:space="preserve"> ir palielinājies par četriem procentpunktiem;</w:t>
            </w:r>
          </w:p>
          <w:p w14:paraId="5250AC81" w14:textId="046DB23A" w:rsidR="00EC1371" w:rsidRPr="00EC1371" w:rsidRDefault="00EC1371" w:rsidP="00EC1371">
            <w:pPr>
              <w:pStyle w:val="ListParagraph"/>
              <w:numPr>
                <w:ilvl w:val="0"/>
                <w:numId w:val="41"/>
              </w:numPr>
              <w:tabs>
                <w:tab w:val="left" w:pos="1134"/>
              </w:tabs>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to </w:t>
            </w:r>
            <w:r w:rsidRPr="00D00883">
              <w:rPr>
                <w:rFonts w:ascii="Times New Roman" w:eastAsia="Times New Roman" w:hAnsi="Times New Roman" w:cs="Times New Roman"/>
                <w:bCs/>
                <w:sz w:val="24"/>
                <w:szCs w:val="24"/>
              </w:rPr>
              <w:t xml:space="preserve">darba devēju īpatsvars, kuri aprēķina darba bruto ienākumus virs 1000 </w:t>
            </w:r>
            <w:proofErr w:type="spellStart"/>
            <w:r w:rsidRPr="00D00883">
              <w:rPr>
                <w:rFonts w:ascii="Times New Roman" w:eastAsia="Times New Roman" w:hAnsi="Times New Roman" w:cs="Times New Roman"/>
                <w:bCs/>
                <w:i/>
                <w:iCs/>
                <w:sz w:val="24"/>
                <w:szCs w:val="24"/>
              </w:rPr>
              <w:t>euro</w:t>
            </w:r>
            <w:proofErr w:type="spellEnd"/>
            <w:r w:rsidRPr="00B139B6">
              <w:rPr>
                <w:rFonts w:ascii="Times New Roman" w:eastAsia="Times New Roman" w:hAnsi="Times New Roman" w:cs="Times New Roman"/>
                <w:bCs/>
                <w:iCs/>
                <w:sz w:val="24"/>
                <w:szCs w:val="24"/>
              </w:rPr>
              <w:t>,</w:t>
            </w:r>
            <w:r>
              <w:rPr>
                <w:rFonts w:ascii="Times New Roman" w:eastAsia="Times New Roman" w:hAnsi="Times New Roman" w:cs="Times New Roman"/>
                <w:bCs/>
                <w:i/>
                <w:iCs/>
                <w:sz w:val="24"/>
                <w:szCs w:val="24"/>
              </w:rPr>
              <w:t xml:space="preserve"> </w:t>
            </w:r>
            <w:r>
              <w:rPr>
                <w:rFonts w:ascii="Times New Roman" w:eastAsia="Times New Roman" w:hAnsi="Times New Roman" w:cs="Times New Roman"/>
                <w:sz w:val="24"/>
                <w:szCs w:val="24"/>
              </w:rPr>
              <w:t>no 2018. līdz 2022. gadam</w:t>
            </w:r>
            <w:r>
              <w:rPr>
                <w:rFonts w:ascii="Times New Roman" w:eastAsia="Times New Roman" w:hAnsi="Times New Roman" w:cs="Times New Roman"/>
                <w:bCs/>
                <w:sz w:val="24"/>
                <w:szCs w:val="24"/>
              </w:rPr>
              <w:t xml:space="preserve"> ir palielinājies</w:t>
            </w:r>
            <w:r w:rsidRPr="00850F0E">
              <w:rPr>
                <w:rFonts w:ascii="Times New Roman" w:eastAsia="Times New Roman" w:hAnsi="Times New Roman" w:cs="Times New Roman"/>
                <w:bCs/>
                <w:sz w:val="24"/>
                <w:szCs w:val="24"/>
              </w:rPr>
              <w:t xml:space="preserve"> par</w:t>
            </w:r>
            <w:r>
              <w:rPr>
                <w:rFonts w:ascii="Times New Roman" w:eastAsia="Times New Roman" w:hAnsi="Times New Roman" w:cs="Times New Roman"/>
                <w:bCs/>
                <w:sz w:val="24"/>
                <w:szCs w:val="24"/>
              </w:rPr>
              <w:t xml:space="preserve"> pieciem </w:t>
            </w:r>
            <w:r w:rsidRPr="00850F0E">
              <w:rPr>
                <w:rFonts w:ascii="Times New Roman" w:eastAsia="Times New Roman" w:hAnsi="Times New Roman" w:cs="Times New Roman"/>
                <w:bCs/>
                <w:sz w:val="24"/>
                <w:szCs w:val="24"/>
              </w:rPr>
              <w:t>procentpunktiem.</w:t>
            </w:r>
          </w:p>
        </w:tc>
      </w:tr>
      <w:tr w:rsidR="00CD14C9" w:rsidRPr="003378FD" w14:paraId="374FAD9B" w14:textId="77777777" w:rsidTr="00767149">
        <w:trPr>
          <w:jc w:val="center"/>
        </w:trPr>
        <w:tc>
          <w:tcPr>
            <w:tcW w:w="9061" w:type="dxa"/>
            <w:gridSpan w:val="10"/>
          </w:tcPr>
          <w:p w14:paraId="7EB9C1E0" w14:textId="77777777" w:rsidR="00CD14C9" w:rsidRPr="003378FD" w:rsidRDefault="00CD14C9" w:rsidP="00767149">
            <w:pPr>
              <w:tabs>
                <w:tab w:val="left" w:pos="1134"/>
              </w:tabs>
              <w:jc w:val="center"/>
              <w:rPr>
                <w:rFonts w:ascii="Times New Roman" w:eastAsia="Times New Roman" w:hAnsi="Times New Roman" w:cs="Times New Roman"/>
                <w:b/>
                <w:i/>
                <w:iCs/>
                <w:sz w:val="24"/>
                <w:szCs w:val="24"/>
              </w:rPr>
            </w:pPr>
            <w:r w:rsidRPr="003378FD">
              <w:rPr>
                <w:rFonts w:ascii="Times New Roman" w:eastAsia="Times New Roman" w:hAnsi="Times New Roman" w:cs="Times New Roman"/>
                <w:b/>
                <w:i/>
                <w:iCs/>
                <w:sz w:val="24"/>
                <w:szCs w:val="24"/>
              </w:rPr>
              <w:t>Izpildīts</w:t>
            </w:r>
            <w:r>
              <w:rPr>
                <w:rFonts w:ascii="Times New Roman" w:eastAsia="Times New Roman" w:hAnsi="Times New Roman" w:cs="Times New Roman"/>
                <w:b/>
                <w:i/>
                <w:iCs/>
                <w:sz w:val="24"/>
                <w:szCs w:val="24"/>
              </w:rPr>
              <w:t>.</w:t>
            </w:r>
          </w:p>
        </w:tc>
      </w:tr>
    </w:tbl>
    <w:p w14:paraId="0CA54AF8" w14:textId="09FBC2DA" w:rsidR="00A24A7F" w:rsidRDefault="00A24A7F" w:rsidP="0088008A">
      <w:pPr>
        <w:tabs>
          <w:tab w:val="left" w:pos="7380"/>
        </w:tabs>
        <w:spacing w:before="120" w:after="120" w:line="240" w:lineRule="auto"/>
        <w:ind w:firstLine="709"/>
        <w:jc w:val="both"/>
        <w:rPr>
          <w:rFonts w:ascii="Times New Roman" w:eastAsia="Times New Roman" w:hAnsi="Times New Roman" w:cs="Times New Roman"/>
          <w:b/>
          <w:bCs/>
          <w:sz w:val="24"/>
          <w:szCs w:val="24"/>
        </w:rPr>
      </w:pPr>
      <w:r w:rsidRPr="00606811">
        <w:rPr>
          <w:rFonts w:ascii="Times New Roman" w:eastAsia="Times New Roman" w:hAnsi="Times New Roman" w:cs="Times New Roman"/>
          <w:b/>
          <w:sz w:val="24"/>
          <w:szCs w:val="24"/>
        </w:rPr>
        <w:t xml:space="preserve">Augļkopības un dārzeņkopības nozaru attīstības rādītāji ir pozitīvi un liecina, ka laika periodā no 2017.gada līdz 2022.gadam Latvijā šī nozare ir attīstījusies ievērojami, pieaugot gan augļkopības un dārzeņkopības platībām (+5%), gan arī saražotās produkcijas vērtībai (+46%), kā arī eksporta vērtībai (+77%). Turklāt Latvijā augļkopības un dārzeņkopības nozare attīstās straujāk kā vidēji Eiropas Savienības dalībvalstīs. </w:t>
      </w:r>
      <w:r w:rsidR="00791EC6">
        <w:rPr>
          <w:rFonts w:ascii="Times New Roman" w:hAnsi="Times New Roman" w:cs="Times New Roman"/>
          <w:iCs/>
          <w:sz w:val="24"/>
          <w:szCs w:val="24"/>
        </w:rPr>
        <w:t>A</w:t>
      </w:r>
      <w:r w:rsidRPr="00606811">
        <w:rPr>
          <w:rFonts w:ascii="Times New Roman" w:hAnsi="Times New Roman" w:cs="Times New Roman"/>
          <w:iCs/>
          <w:sz w:val="24"/>
          <w:szCs w:val="24"/>
        </w:rPr>
        <w:t>ugļu un ogu izlaides vērtība Latvijā ir pieaugusi par 100% un Latvija ierindojas trešajā vietā (aiz Luksemburgas un Slovēnijas)</w:t>
      </w:r>
      <w:r>
        <w:rPr>
          <w:rFonts w:ascii="Times New Roman" w:hAnsi="Times New Roman" w:cs="Times New Roman"/>
          <w:iCs/>
          <w:sz w:val="24"/>
          <w:szCs w:val="24"/>
        </w:rPr>
        <w:t xml:space="preserve">, </w:t>
      </w:r>
      <w:r w:rsidRPr="00606811">
        <w:rPr>
          <w:rFonts w:ascii="Times New Roman" w:hAnsi="Times New Roman" w:cs="Times New Roman"/>
          <w:iCs/>
          <w:sz w:val="24"/>
          <w:szCs w:val="24"/>
        </w:rPr>
        <w:t xml:space="preserve">dārzeņu izlaides vērtība Latvijā ir pieaugusi par </w:t>
      </w:r>
      <w:r w:rsidR="00791EC6">
        <w:rPr>
          <w:rFonts w:ascii="Times New Roman" w:hAnsi="Times New Roman" w:cs="Times New Roman"/>
          <w:iCs/>
          <w:sz w:val="24"/>
          <w:szCs w:val="24"/>
        </w:rPr>
        <w:t>25</w:t>
      </w:r>
      <w:r w:rsidRPr="00606811">
        <w:rPr>
          <w:rFonts w:ascii="Times New Roman" w:hAnsi="Times New Roman" w:cs="Times New Roman"/>
          <w:iCs/>
          <w:sz w:val="24"/>
          <w:szCs w:val="24"/>
        </w:rPr>
        <w:t xml:space="preserve">% un </w:t>
      </w:r>
      <w:r w:rsidR="00791EC6">
        <w:rPr>
          <w:rFonts w:ascii="Times New Roman" w:hAnsi="Times New Roman" w:cs="Times New Roman"/>
          <w:iCs/>
          <w:sz w:val="24"/>
          <w:szCs w:val="24"/>
        </w:rPr>
        <w:t>ir virs Eiropas savienības dalībvalstu vidējā rādītāja</w:t>
      </w:r>
      <w:r>
        <w:rPr>
          <w:rFonts w:ascii="Times New Roman" w:hAnsi="Times New Roman" w:cs="Times New Roman"/>
          <w:iCs/>
          <w:sz w:val="24"/>
          <w:szCs w:val="24"/>
        </w:rPr>
        <w:t xml:space="preserve">, </w:t>
      </w:r>
      <w:r w:rsidRPr="005842B1">
        <w:rPr>
          <w:rFonts w:ascii="Times New Roman" w:hAnsi="Times New Roman" w:cs="Times New Roman"/>
          <w:iCs/>
          <w:sz w:val="24"/>
          <w:szCs w:val="24"/>
        </w:rPr>
        <w:t xml:space="preserve">kartupeļu izlaides vērtība </w:t>
      </w:r>
      <w:r>
        <w:rPr>
          <w:rFonts w:ascii="Times New Roman" w:hAnsi="Times New Roman" w:cs="Times New Roman"/>
          <w:iCs/>
          <w:sz w:val="24"/>
          <w:szCs w:val="24"/>
        </w:rPr>
        <w:t xml:space="preserve">Latvijā </w:t>
      </w:r>
      <w:r w:rsidRPr="005842B1">
        <w:rPr>
          <w:rFonts w:ascii="Times New Roman" w:hAnsi="Times New Roman" w:cs="Times New Roman"/>
          <w:iCs/>
          <w:sz w:val="24"/>
          <w:szCs w:val="24"/>
        </w:rPr>
        <w:t>ir pieaugusi par 57 %</w:t>
      </w:r>
      <w:r>
        <w:rPr>
          <w:rFonts w:ascii="Times New Roman" w:hAnsi="Times New Roman" w:cs="Times New Roman"/>
          <w:iCs/>
          <w:sz w:val="24"/>
          <w:szCs w:val="24"/>
        </w:rPr>
        <w:t xml:space="preserve"> un </w:t>
      </w:r>
      <w:r w:rsidRPr="005842B1">
        <w:rPr>
          <w:rFonts w:ascii="Times New Roman" w:hAnsi="Times New Roman" w:cs="Times New Roman"/>
          <w:iCs/>
          <w:sz w:val="24"/>
          <w:szCs w:val="24"/>
        </w:rPr>
        <w:t>Latvija ierindojas sestajā vietā</w:t>
      </w:r>
      <w:r>
        <w:rPr>
          <w:rFonts w:ascii="Times New Roman" w:hAnsi="Times New Roman" w:cs="Times New Roman"/>
          <w:iCs/>
          <w:sz w:val="24"/>
          <w:szCs w:val="24"/>
        </w:rPr>
        <w:t xml:space="preserve">. </w:t>
      </w:r>
      <w:r w:rsidRPr="0087769D">
        <w:rPr>
          <w:rFonts w:ascii="Times New Roman" w:hAnsi="Times New Roman" w:cs="Times New Roman"/>
          <w:iCs/>
          <w:sz w:val="24"/>
          <w:szCs w:val="24"/>
        </w:rPr>
        <w:t xml:space="preserve">Kaut arī vietējās augļu, ogu un dārzeņu </w:t>
      </w:r>
      <w:r w:rsidRPr="0087769D">
        <w:rPr>
          <w:rFonts w:ascii="Times New Roman" w:hAnsi="Times New Roman" w:cs="Times New Roman"/>
          <w:iCs/>
          <w:sz w:val="24"/>
          <w:szCs w:val="24"/>
        </w:rPr>
        <w:lastRenderedPageBreak/>
        <w:t>(tostarp kartupeļu) saražotās produkcijas vērtība ir pieaugusi, ir palielinājies arī importētās produkcijas apjoms</w:t>
      </w:r>
      <w:r w:rsidR="008832EC">
        <w:rPr>
          <w:rFonts w:ascii="Times New Roman" w:hAnsi="Times New Roman" w:cs="Times New Roman"/>
          <w:iCs/>
          <w:sz w:val="24"/>
          <w:szCs w:val="24"/>
        </w:rPr>
        <w:t xml:space="preserve">. </w:t>
      </w:r>
      <w:r w:rsidR="0088008A">
        <w:rPr>
          <w:rFonts w:ascii="Times New Roman" w:eastAsia="Times New Roman" w:hAnsi="Times New Roman" w:cs="Times New Roman"/>
          <w:b/>
          <w:bCs/>
          <w:sz w:val="24"/>
          <w:szCs w:val="24"/>
        </w:rPr>
        <w:t>Līdz ar to, v</w:t>
      </w:r>
      <w:r w:rsidR="008832EC" w:rsidRPr="00FA7CC5">
        <w:rPr>
          <w:rFonts w:ascii="Times New Roman" w:eastAsia="Times New Roman" w:hAnsi="Times New Roman" w:cs="Times New Roman"/>
          <w:b/>
          <w:bCs/>
          <w:sz w:val="24"/>
          <w:szCs w:val="24"/>
        </w:rPr>
        <w:t xml:space="preserve">ērtējot situāciju augļkopības un dārzeņkopības nozarē kopš samazinātās PVN likmes 5 % apmērā ieviešanas augļiem, ogām un dārzeņiem, var secināt, ka samazinātās likmes ieviešana ir attaisnojusies, jo ir devusi pozitīvu efektu uz augļkopības un dārzeņkopības nozari kopumā. </w:t>
      </w:r>
    </w:p>
    <w:p w14:paraId="0C220E56" w14:textId="5442668D" w:rsidR="009332BA" w:rsidRPr="008C0243" w:rsidRDefault="009332BA" w:rsidP="009332BA">
      <w:pPr>
        <w:pStyle w:val="ListParagraph"/>
        <w:tabs>
          <w:tab w:val="left" w:pos="1134"/>
        </w:tabs>
        <w:spacing w:before="120" w:after="120" w:line="240" w:lineRule="auto"/>
        <w:ind w:left="0" w:firstLine="709"/>
        <w:jc w:val="right"/>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7.tabula</w:t>
      </w:r>
    </w:p>
    <w:tbl>
      <w:tblPr>
        <w:tblStyle w:val="TableGrid"/>
        <w:tblW w:w="0" w:type="auto"/>
        <w:jc w:val="center"/>
        <w:tblLook w:val="04A0" w:firstRow="1" w:lastRow="0" w:firstColumn="1" w:lastColumn="0" w:noHBand="0" w:noVBand="1"/>
      </w:tblPr>
      <w:tblGrid>
        <w:gridCol w:w="9061"/>
      </w:tblGrid>
      <w:tr w:rsidR="00A24A7F" w14:paraId="119911A2" w14:textId="77777777" w:rsidTr="00767149">
        <w:trPr>
          <w:jc w:val="center"/>
        </w:trPr>
        <w:tc>
          <w:tcPr>
            <w:tcW w:w="9061" w:type="dxa"/>
          </w:tcPr>
          <w:p w14:paraId="3C39D47A" w14:textId="77777777" w:rsidR="00A24A7F" w:rsidRPr="009A6EC4" w:rsidRDefault="00A24A7F" w:rsidP="00767149">
            <w:pPr>
              <w:tabs>
                <w:tab w:val="left" w:pos="1134"/>
              </w:tabs>
              <w:spacing w:after="120"/>
              <w:jc w:val="both"/>
              <w:rPr>
                <w:rFonts w:ascii="Times New Roman" w:eastAsia="Times New Roman" w:hAnsi="Times New Roman" w:cs="Times New Roman"/>
                <w:b/>
                <w:sz w:val="24"/>
                <w:szCs w:val="24"/>
              </w:rPr>
            </w:pPr>
            <w:r w:rsidRPr="005C7E97">
              <w:rPr>
                <w:rFonts w:ascii="Times New Roman" w:eastAsia="Times New Roman" w:hAnsi="Times New Roman" w:cs="Times New Roman"/>
                <w:b/>
                <w:sz w:val="24"/>
                <w:szCs w:val="24"/>
              </w:rPr>
              <w:t>Augļkopības un dārzeņkopības nozaru attīstības rādītāji</w:t>
            </w:r>
          </w:p>
        </w:tc>
      </w:tr>
      <w:tr w:rsidR="00030272" w:rsidRPr="0084392F" w14:paraId="726D3BB5" w14:textId="77777777" w:rsidTr="00756E01">
        <w:trPr>
          <w:trHeight w:val="5216"/>
          <w:jc w:val="center"/>
        </w:trPr>
        <w:tc>
          <w:tcPr>
            <w:tcW w:w="9061" w:type="dxa"/>
          </w:tcPr>
          <w:p w14:paraId="7C155DB3" w14:textId="24293A70" w:rsidR="00030272" w:rsidRPr="00030272" w:rsidRDefault="00030272" w:rsidP="00625C8F">
            <w:pPr>
              <w:pStyle w:val="ListParagraph"/>
              <w:numPr>
                <w:ilvl w:val="0"/>
                <w:numId w:val="45"/>
              </w:numPr>
              <w:tabs>
                <w:tab w:val="left" w:pos="1134"/>
              </w:tabs>
              <w:contextualSpacing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w:t>
            </w:r>
            <w:r w:rsidRPr="00030272">
              <w:rPr>
                <w:rFonts w:ascii="Times New Roman" w:eastAsia="Times New Roman" w:hAnsi="Times New Roman" w:cs="Times New Roman"/>
                <w:sz w:val="24"/>
                <w:szCs w:val="24"/>
              </w:rPr>
              <w:t>ugļkopības un dārzeņkopības platības  no 2017.-2022.gadam palielinājušās par 5%</w:t>
            </w:r>
            <w:r w:rsidR="00625C8F">
              <w:rPr>
                <w:rFonts w:ascii="Times New Roman" w:eastAsia="Times New Roman" w:hAnsi="Times New Roman" w:cs="Times New Roman"/>
                <w:sz w:val="24"/>
                <w:szCs w:val="24"/>
              </w:rPr>
              <w:t>;</w:t>
            </w:r>
          </w:p>
          <w:p w14:paraId="5AB8A405" w14:textId="2D4A3863" w:rsidR="00030272" w:rsidRPr="00030272" w:rsidRDefault="00030272" w:rsidP="00625C8F">
            <w:pPr>
              <w:pStyle w:val="ListParagraph"/>
              <w:numPr>
                <w:ilvl w:val="0"/>
                <w:numId w:val="45"/>
              </w:numPr>
              <w:tabs>
                <w:tab w:val="left" w:pos="1134"/>
              </w:tabs>
              <w:contextualSpacing w:val="0"/>
              <w:jc w:val="both"/>
              <w:rPr>
                <w:rFonts w:ascii="Times New Roman" w:eastAsia="Times New Roman" w:hAnsi="Times New Roman" w:cs="Times New Roman"/>
                <w:bCs/>
                <w:sz w:val="24"/>
                <w:szCs w:val="24"/>
              </w:rPr>
            </w:pPr>
            <w:r>
              <w:rPr>
                <w:rFonts w:ascii="Times New Roman" w:hAnsi="Times New Roman" w:cs="Times New Roman"/>
                <w:sz w:val="24"/>
                <w:szCs w:val="24"/>
              </w:rPr>
              <w:t>a</w:t>
            </w:r>
            <w:r w:rsidRPr="00030272">
              <w:rPr>
                <w:rFonts w:ascii="Times New Roman" w:hAnsi="Times New Roman" w:cs="Times New Roman"/>
                <w:sz w:val="24"/>
                <w:szCs w:val="24"/>
              </w:rPr>
              <w:t xml:space="preserve">ugļkopības un dārzeņkopības saražotās produkcijas vērtība </w:t>
            </w:r>
            <w:r w:rsidRPr="00030272">
              <w:rPr>
                <w:rFonts w:ascii="Times New Roman" w:eastAsia="Times New Roman" w:hAnsi="Times New Roman" w:cs="Times New Roman"/>
                <w:sz w:val="24"/>
                <w:szCs w:val="24"/>
              </w:rPr>
              <w:t>no 2017.-2022.gadam ir palielinājusies par 46%</w:t>
            </w:r>
            <w:r w:rsidR="00625C8F">
              <w:rPr>
                <w:rFonts w:ascii="Times New Roman" w:eastAsia="Times New Roman" w:hAnsi="Times New Roman" w:cs="Times New Roman"/>
                <w:sz w:val="24"/>
                <w:szCs w:val="24"/>
              </w:rPr>
              <w:t>;</w:t>
            </w:r>
          </w:p>
          <w:p w14:paraId="787947BA" w14:textId="0E2065C7" w:rsidR="00030272" w:rsidRPr="00030272" w:rsidRDefault="00030272" w:rsidP="00625C8F">
            <w:pPr>
              <w:pStyle w:val="ListParagraph"/>
              <w:numPr>
                <w:ilvl w:val="0"/>
                <w:numId w:val="45"/>
              </w:numPr>
              <w:tabs>
                <w:tab w:val="left" w:pos="1134"/>
              </w:tabs>
              <w:contextualSpacing w:val="0"/>
              <w:jc w:val="both"/>
              <w:rPr>
                <w:rFonts w:ascii="Times New Roman" w:eastAsia="Times New Roman" w:hAnsi="Times New Roman" w:cs="Times New Roman"/>
                <w:bCs/>
                <w:sz w:val="24"/>
                <w:szCs w:val="24"/>
              </w:rPr>
            </w:pPr>
            <w:r>
              <w:rPr>
                <w:rFonts w:ascii="Times New Roman" w:hAnsi="Times New Roman" w:cs="Times New Roman"/>
                <w:sz w:val="24"/>
                <w:szCs w:val="24"/>
              </w:rPr>
              <w:t>a</w:t>
            </w:r>
            <w:r w:rsidRPr="00030272">
              <w:rPr>
                <w:rFonts w:ascii="Times New Roman" w:hAnsi="Times New Roman" w:cs="Times New Roman"/>
                <w:sz w:val="24"/>
                <w:szCs w:val="24"/>
              </w:rPr>
              <w:t xml:space="preserve">ugļu, ogu un dārzeņu (tostarp kartupeļu) eksporta vērtība </w:t>
            </w:r>
            <w:r w:rsidRPr="00030272">
              <w:rPr>
                <w:rFonts w:ascii="Times New Roman" w:eastAsia="Times New Roman" w:hAnsi="Times New Roman" w:cs="Times New Roman"/>
                <w:sz w:val="24"/>
                <w:szCs w:val="24"/>
              </w:rPr>
              <w:t>no 2017.-2022.gadam  ir palielinājusies par 77%</w:t>
            </w:r>
            <w:r w:rsidR="00625C8F">
              <w:rPr>
                <w:rFonts w:ascii="Times New Roman" w:eastAsia="Times New Roman" w:hAnsi="Times New Roman" w:cs="Times New Roman"/>
                <w:sz w:val="24"/>
                <w:szCs w:val="24"/>
              </w:rPr>
              <w:t>;</w:t>
            </w:r>
          </w:p>
          <w:p w14:paraId="5FC1AAB2" w14:textId="22FF2612" w:rsidR="00030272" w:rsidRPr="00030272" w:rsidRDefault="00030272" w:rsidP="00625C8F">
            <w:pPr>
              <w:pStyle w:val="ListParagraph"/>
              <w:numPr>
                <w:ilvl w:val="0"/>
                <w:numId w:val="45"/>
              </w:numPr>
              <w:tabs>
                <w:tab w:val="left" w:pos="746"/>
              </w:tabs>
              <w:contextualSpacing w:val="0"/>
              <w:jc w:val="both"/>
              <w:rPr>
                <w:rFonts w:ascii="Times New Roman" w:eastAsia="Times New Roman" w:hAnsi="Times New Roman" w:cs="Times New Roman"/>
                <w:b/>
                <w:sz w:val="24"/>
                <w:szCs w:val="24"/>
              </w:rPr>
            </w:pPr>
            <w:r>
              <w:rPr>
                <w:rFonts w:ascii="Times New Roman" w:hAnsi="Times New Roman" w:cs="Times New Roman"/>
                <w:sz w:val="24"/>
                <w:szCs w:val="24"/>
              </w:rPr>
              <w:t>a</w:t>
            </w:r>
            <w:r w:rsidRPr="00030272">
              <w:rPr>
                <w:rFonts w:ascii="Times New Roman" w:hAnsi="Times New Roman" w:cs="Times New Roman"/>
                <w:sz w:val="24"/>
                <w:szCs w:val="24"/>
              </w:rPr>
              <w:t xml:space="preserve">ugļu, ogu un dārzeņu (tostarp kartupeļu) importa vērtība </w:t>
            </w:r>
            <w:r w:rsidRPr="00030272">
              <w:rPr>
                <w:rFonts w:ascii="Times New Roman" w:eastAsia="Times New Roman" w:hAnsi="Times New Roman" w:cs="Times New Roman"/>
                <w:sz w:val="24"/>
                <w:szCs w:val="24"/>
              </w:rPr>
              <w:t>no 2017.-2022.gadam ir palielinājusies par 75%</w:t>
            </w:r>
            <w:r w:rsidR="00625C8F">
              <w:rPr>
                <w:rFonts w:ascii="Times New Roman" w:eastAsia="Times New Roman" w:hAnsi="Times New Roman" w:cs="Times New Roman"/>
                <w:sz w:val="24"/>
                <w:szCs w:val="24"/>
              </w:rPr>
              <w:t>;</w:t>
            </w:r>
          </w:p>
          <w:p w14:paraId="23BE5FE2" w14:textId="2E68B605" w:rsidR="00030272" w:rsidRPr="00F31B96" w:rsidRDefault="00030272" w:rsidP="00625C8F">
            <w:pPr>
              <w:pStyle w:val="ListParagraph"/>
              <w:numPr>
                <w:ilvl w:val="0"/>
                <w:numId w:val="45"/>
              </w:numPr>
              <w:tabs>
                <w:tab w:val="left" w:pos="746"/>
              </w:tabs>
              <w:contextualSpacing w:val="0"/>
              <w:jc w:val="both"/>
              <w:rPr>
                <w:rFonts w:ascii="Times New Roman" w:eastAsia="Times New Roman" w:hAnsi="Times New Roman" w:cs="Times New Roman"/>
                <w:bCs/>
                <w:sz w:val="24"/>
                <w:szCs w:val="24"/>
              </w:rPr>
            </w:pPr>
            <w:r>
              <w:rPr>
                <w:rFonts w:ascii="Times New Roman" w:hAnsi="Times New Roman" w:cs="Times New Roman"/>
                <w:sz w:val="24"/>
                <w:szCs w:val="24"/>
              </w:rPr>
              <w:t>a</w:t>
            </w:r>
            <w:r w:rsidRPr="00030272">
              <w:rPr>
                <w:rFonts w:ascii="Times New Roman" w:hAnsi="Times New Roman" w:cs="Times New Roman"/>
                <w:sz w:val="24"/>
                <w:szCs w:val="24"/>
              </w:rPr>
              <w:t xml:space="preserve">ugļu un ogu izlaides vērtības izmaiņas Latvijā starp citām Eiropas Savienības dalībvalstīs </w:t>
            </w:r>
            <w:r w:rsidRPr="00030272">
              <w:rPr>
                <w:rFonts w:ascii="Times New Roman" w:eastAsia="Times New Roman" w:hAnsi="Times New Roman" w:cs="Times New Roman"/>
                <w:sz w:val="24"/>
                <w:szCs w:val="24"/>
              </w:rPr>
              <w:t xml:space="preserve">no 2017.-2022.gadam ir pozitīvākas, </w:t>
            </w:r>
            <w:r w:rsidRPr="00030272">
              <w:rPr>
                <w:rFonts w:ascii="Times New Roman" w:eastAsia="Times New Roman" w:hAnsi="Times New Roman" w:cs="Times New Roman"/>
                <w:bCs/>
                <w:sz w:val="24"/>
                <w:szCs w:val="24"/>
              </w:rPr>
              <w:t xml:space="preserve">kā vidēji Eiropas Savienības </w:t>
            </w:r>
            <w:r w:rsidRPr="00F31B96">
              <w:rPr>
                <w:rFonts w:ascii="Times New Roman" w:eastAsia="Times New Roman" w:hAnsi="Times New Roman" w:cs="Times New Roman"/>
                <w:bCs/>
                <w:sz w:val="24"/>
                <w:szCs w:val="24"/>
              </w:rPr>
              <w:t>dalībvalstīs:</w:t>
            </w:r>
          </w:p>
          <w:p w14:paraId="4D5BDF8A" w14:textId="77777777" w:rsidR="00625C8F" w:rsidRPr="00F31B96" w:rsidRDefault="00030272" w:rsidP="00625C8F">
            <w:pPr>
              <w:pStyle w:val="ListParagraph"/>
              <w:numPr>
                <w:ilvl w:val="0"/>
                <w:numId w:val="46"/>
              </w:numPr>
              <w:tabs>
                <w:tab w:val="left" w:pos="746"/>
              </w:tabs>
              <w:contextualSpacing w:val="0"/>
              <w:jc w:val="both"/>
              <w:rPr>
                <w:rFonts w:ascii="Times New Roman" w:hAnsi="Times New Roman" w:cs="Times New Roman"/>
                <w:iCs/>
                <w:sz w:val="24"/>
                <w:szCs w:val="24"/>
              </w:rPr>
            </w:pPr>
            <w:r w:rsidRPr="00F31B96">
              <w:rPr>
                <w:rFonts w:ascii="Times New Roman" w:hAnsi="Times New Roman" w:cs="Times New Roman"/>
                <w:iCs/>
                <w:sz w:val="24"/>
                <w:szCs w:val="24"/>
              </w:rPr>
              <w:t>augļu un ogu izlaides vērtība Latvijā ir pieaugusi par 100% un Latvija ierindojas trešajā vietā (aiz Luksemburgas un Slovēnijas);</w:t>
            </w:r>
          </w:p>
          <w:p w14:paraId="65FF2E6B" w14:textId="77777777" w:rsidR="00625C8F" w:rsidRPr="00F31B96" w:rsidRDefault="00030272" w:rsidP="00625C8F">
            <w:pPr>
              <w:pStyle w:val="ListParagraph"/>
              <w:numPr>
                <w:ilvl w:val="0"/>
                <w:numId w:val="46"/>
              </w:numPr>
              <w:tabs>
                <w:tab w:val="left" w:pos="746"/>
              </w:tabs>
              <w:contextualSpacing w:val="0"/>
              <w:jc w:val="both"/>
              <w:rPr>
                <w:rFonts w:ascii="Times New Roman" w:hAnsi="Times New Roman" w:cs="Times New Roman"/>
                <w:iCs/>
                <w:sz w:val="24"/>
                <w:szCs w:val="24"/>
              </w:rPr>
            </w:pPr>
            <w:r w:rsidRPr="00F31B96">
              <w:rPr>
                <w:rFonts w:ascii="Times New Roman" w:hAnsi="Times New Roman" w:cs="Times New Roman"/>
                <w:iCs/>
                <w:sz w:val="24"/>
                <w:szCs w:val="24"/>
              </w:rPr>
              <w:t>dārzeņu izlaides vērtība Latvijā ir pieaugusi par 25% un ir virs Eiropas savienības dalībvalstu vidējā rādītāja;</w:t>
            </w:r>
          </w:p>
          <w:p w14:paraId="04DE2D63" w14:textId="15316A99" w:rsidR="00030272" w:rsidRPr="00F31B96" w:rsidRDefault="00030272" w:rsidP="00625C8F">
            <w:pPr>
              <w:pStyle w:val="ListParagraph"/>
              <w:numPr>
                <w:ilvl w:val="0"/>
                <w:numId w:val="46"/>
              </w:numPr>
              <w:tabs>
                <w:tab w:val="left" w:pos="746"/>
              </w:tabs>
              <w:contextualSpacing w:val="0"/>
              <w:jc w:val="both"/>
              <w:rPr>
                <w:rFonts w:ascii="Times New Roman" w:hAnsi="Times New Roman" w:cs="Times New Roman"/>
                <w:iCs/>
                <w:sz w:val="24"/>
                <w:szCs w:val="24"/>
              </w:rPr>
            </w:pPr>
            <w:r w:rsidRPr="00F31B96">
              <w:rPr>
                <w:rFonts w:ascii="Times New Roman" w:hAnsi="Times New Roman" w:cs="Times New Roman"/>
                <w:iCs/>
                <w:sz w:val="24"/>
                <w:szCs w:val="24"/>
              </w:rPr>
              <w:t>kartupeļu izlaides vērtība Latvijā ir pieaugusi par 57 % un Latvija ierindojas sestajā vietā</w:t>
            </w:r>
            <w:r w:rsidR="00625C8F" w:rsidRPr="00F31B96">
              <w:rPr>
                <w:rFonts w:ascii="Times New Roman" w:hAnsi="Times New Roman" w:cs="Times New Roman"/>
                <w:iCs/>
                <w:sz w:val="24"/>
                <w:szCs w:val="24"/>
              </w:rPr>
              <w:t>;</w:t>
            </w:r>
          </w:p>
          <w:p w14:paraId="7B9A8856" w14:textId="7011720E" w:rsidR="00030272" w:rsidRPr="00030272" w:rsidRDefault="00030272" w:rsidP="00625C8F">
            <w:pPr>
              <w:pStyle w:val="ListParagraph"/>
              <w:numPr>
                <w:ilvl w:val="0"/>
                <w:numId w:val="45"/>
              </w:numPr>
              <w:tabs>
                <w:tab w:val="left" w:pos="1134"/>
              </w:tabs>
              <w:ind w:left="714" w:hanging="357"/>
              <w:contextualSpacing w:val="0"/>
              <w:jc w:val="both"/>
              <w:rPr>
                <w:rFonts w:ascii="Times New Roman" w:eastAsia="Times New Roman" w:hAnsi="Times New Roman" w:cs="Times New Roman"/>
                <w:bCs/>
                <w:sz w:val="24"/>
                <w:szCs w:val="24"/>
              </w:rPr>
            </w:pPr>
            <w:r>
              <w:rPr>
                <w:rFonts w:ascii="Times New Roman" w:hAnsi="Times New Roman" w:cs="Times New Roman"/>
                <w:sz w:val="24"/>
                <w:szCs w:val="24"/>
              </w:rPr>
              <w:t>n</w:t>
            </w:r>
            <w:r w:rsidRPr="00030272">
              <w:rPr>
                <w:rFonts w:ascii="Times New Roman" w:hAnsi="Times New Roman" w:cs="Times New Roman"/>
                <w:sz w:val="24"/>
                <w:szCs w:val="24"/>
              </w:rPr>
              <w:t xml:space="preserve">odokļu nomaksa </w:t>
            </w:r>
            <w:r w:rsidRPr="00030272">
              <w:rPr>
                <w:rFonts w:ascii="Times New Roman" w:eastAsia="Times New Roman" w:hAnsi="Times New Roman" w:cs="Times New Roman"/>
                <w:sz w:val="24"/>
                <w:szCs w:val="24"/>
              </w:rPr>
              <w:t>no 2018. līdz 2022.gadam augļkopības un dārzeņkopības nozarē ir palielinājusies par 39%</w:t>
            </w:r>
            <w:r w:rsidR="00625C8F">
              <w:rPr>
                <w:rFonts w:ascii="Times New Roman" w:eastAsia="Times New Roman" w:hAnsi="Times New Roman" w:cs="Times New Roman"/>
                <w:sz w:val="24"/>
                <w:szCs w:val="24"/>
              </w:rPr>
              <w:t>.</w:t>
            </w:r>
          </w:p>
        </w:tc>
      </w:tr>
    </w:tbl>
    <w:p w14:paraId="61526F01" w14:textId="5F2265B3" w:rsidR="00A24A7F" w:rsidRPr="00DC1765" w:rsidRDefault="00A24A7F" w:rsidP="00F31B96">
      <w:pPr>
        <w:tabs>
          <w:tab w:val="left" w:pos="1134"/>
        </w:tabs>
        <w:spacing w:before="120" w:after="12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Ņemot vērā, ka a</w:t>
      </w:r>
      <w:r w:rsidRPr="00606811">
        <w:rPr>
          <w:rFonts w:ascii="Times New Roman" w:eastAsia="Times New Roman" w:hAnsi="Times New Roman" w:cs="Times New Roman"/>
          <w:b/>
          <w:sz w:val="24"/>
          <w:szCs w:val="24"/>
        </w:rPr>
        <w:t xml:space="preserve">ugļkopības un dārzeņkopības nozaru attīstības </w:t>
      </w:r>
      <w:r w:rsidR="00602D5C">
        <w:rPr>
          <w:rFonts w:ascii="Times New Roman" w:eastAsia="Times New Roman" w:hAnsi="Times New Roman" w:cs="Times New Roman"/>
          <w:b/>
          <w:sz w:val="24"/>
          <w:szCs w:val="24"/>
        </w:rPr>
        <w:t xml:space="preserve">analīzes </w:t>
      </w:r>
      <w:r w:rsidRPr="00606811">
        <w:rPr>
          <w:rFonts w:ascii="Times New Roman" w:eastAsia="Times New Roman" w:hAnsi="Times New Roman" w:cs="Times New Roman"/>
          <w:b/>
          <w:sz w:val="24"/>
          <w:szCs w:val="24"/>
        </w:rPr>
        <w:t>rādītāji ir pozitīvi</w:t>
      </w:r>
      <w:r w:rsidR="008832EC">
        <w:rPr>
          <w:rFonts w:ascii="Times New Roman" w:eastAsia="Times New Roman" w:hAnsi="Times New Roman" w:cs="Times New Roman"/>
          <w:b/>
          <w:sz w:val="24"/>
          <w:szCs w:val="24"/>
        </w:rPr>
        <w:t xml:space="preserve">, kas </w:t>
      </w:r>
      <w:r w:rsidRPr="00606811">
        <w:rPr>
          <w:rFonts w:ascii="Times New Roman" w:eastAsia="Times New Roman" w:hAnsi="Times New Roman" w:cs="Times New Roman"/>
          <w:b/>
          <w:sz w:val="24"/>
          <w:szCs w:val="24"/>
        </w:rPr>
        <w:t>liecina, ka laika periodā no 2017.gada līdz 2022.gadam Latvijā šī nozare ir attīstījusies ievērojami</w:t>
      </w:r>
      <w:r>
        <w:rPr>
          <w:rFonts w:ascii="Times New Roman" w:eastAsia="Times New Roman" w:hAnsi="Times New Roman" w:cs="Times New Roman"/>
          <w:b/>
          <w:sz w:val="24"/>
          <w:szCs w:val="24"/>
        </w:rPr>
        <w:t xml:space="preserve"> un, neskatoties uz to, ka </w:t>
      </w:r>
      <w:r w:rsidRPr="00DC1765">
        <w:rPr>
          <w:rFonts w:ascii="Times New Roman" w:eastAsia="Times New Roman" w:hAnsi="Times New Roman" w:cs="Times New Roman"/>
          <w:b/>
          <w:sz w:val="24"/>
          <w:szCs w:val="24"/>
        </w:rPr>
        <w:t>no četriem rezultatīvajiem rādītājiem trīs rādītāji - ir izpildīti daļēji un viens ir izpildīts</w:t>
      </w:r>
      <w:r>
        <w:rPr>
          <w:rFonts w:ascii="Times New Roman" w:eastAsia="Times New Roman" w:hAnsi="Times New Roman" w:cs="Times New Roman"/>
          <w:b/>
          <w:sz w:val="24"/>
          <w:szCs w:val="24"/>
        </w:rPr>
        <w:t xml:space="preserve">, Zemkopības ministrija </w:t>
      </w:r>
      <w:r w:rsidR="00C2196D">
        <w:rPr>
          <w:rFonts w:ascii="Times New Roman" w:eastAsia="Times New Roman" w:hAnsi="Times New Roman" w:cs="Times New Roman"/>
          <w:b/>
          <w:sz w:val="24"/>
          <w:szCs w:val="24"/>
        </w:rPr>
        <w:t>u</w:t>
      </w:r>
      <w:r>
        <w:rPr>
          <w:rFonts w:ascii="Times New Roman" w:eastAsia="Times New Roman" w:hAnsi="Times New Roman" w:cs="Times New Roman"/>
          <w:b/>
          <w:sz w:val="24"/>
          <w:szCs w:val="24"/>
        </w:rPr>
        <w:t>zskata, ka PVN samazinātā 5% likme svaigiem augļiem, ogām un dārzeņiem ir jāsaglabā pēc 2023.gada 31.decembra, un Pievienotās vērtības nodokļa likumā tā jāievieš kā patstāvīgu norma.</w:t>
      </w:r>
    </w:p>
    <w:p w14:paraId="08060087" w14:textId="77777777" w:rsidR="00A24A7F" w:rsidRPr="0088008A" w:rsidRDefault="00A24A7F" w:rsidP="0088008A">
      <w:pPr>
        <w:tabs>
          <w:tab w:val="left" w:pos="1134"/>
        </w:tabs>
        <w:spacing w:before="360" w:after="120" w:line="240" w:lineRule="auto"/>
        <w:jc w:val="both"/>
        <w:rPr>
          <w:rFonts w:ascii="Times New Roman" w:eastAsia="Times New Roman" w:hAnsi="Times New Roman" w:cs="Times New Roman"/>
          <w:bCs/>
          <w:sz w:val="24"/>
          <w:szCs w:val="24"/>
        </w:rPr>
      </w:pPr>
    </w:p>
    <w:sectPr w:rsidR="00A24A7F" w:rsidRPr="0088008A" w:rsidSect="00846C68">
      <w:headerReference w:type="default" r:id="rId23"/>
      <w:footerReference w:type="default" r:id="rId24"/>
      <w:footerReference w:type="first" r:id="rId25"/>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21A2" w14:textId="77777777" w:rsidR="006F25FD" w:rsidRDefault="006F25FD" w:rsidP="00DE0F41">
      <w:pPr>
        <w:spacing w:after="0" w:line="240" w:lineRule="auto"/>
      </w:pPr>
      <w:r>
        <w:separator/>
      </w:r>
    </w:p>
  </w:endnote>
  <w:endnote w:type="continuationSeparator" w:id="0">
    <w:p w14:paraId="36FF4486" w14:textId="77777777" w:rsidR="006F25FD" w:rsidRDefault="006F25FD" w:rsidP="00DE0F41">
      <w:pPr>
        <w:spacing w:after="0" w:line="240" w:lineRule="auto"/>
      </w:pPr>
      <w:r>
        <w:continuationSeparator/>
      </w:r>
    </w:p>
  </w:endnote>
  <w:endnote w:type="continuationNotice" w:id="1">
    <w:p w14:paraId="355704AB" w14:textId="77777777" w:rsidR="006F25FD" w:rsidRDefault="006F25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MinionPro-Regular">
    <w:altName w:val="Times New Roman"/>
    <w:panose1 w:val="00000000000000000000"/>
    <w:charset w:val="EE"/>
    <w:family w:val="roman"/>
    <w:notTrueType/>
    <w:pitch w:val="default"/>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F89F" w14:textId="49C21806" w:rsidR="007F29A3" w:rsidRPr="003163BB" w:rsidRDefault="007F29A3" w:rsidP="003163BB">
    <w:pPr>
      <w:pStyle w:val="Footer"/>
    </w:pPr>
    <w:r w:rsidRPr="00107608">
      <w:rPr>
        <w:rFonts w:ascii="Times New Roman" w:hAnsi="Times New Roman" w:cs="Times New Roman"/>
        <w:sz w:val="20"/>
        <w:szCs w:val="20"/>
      </w:rPr>
      <w:t>ZMZin_</w:t>
    </w:r>
    <w:r>
      <w:rPr>
        <w:rFonts w:ascii="Times New Roman" w:hAnsi="Times New Roman" w:cs="Times New Roman"/>
        <w:sz w:val="20"/>
        <w:szCs w:val="20"/>
      </w:rPr>
      <w:t>07072023</w:t>
    </w:r>
    <w:r w:rsidRPr="00107608">
      <w:rPr>
        <w:rFonts w:ascii="Times New Roman" w:hAnsi="Times New Roman" w:cs="Times New Roman"/>
        <w:sz w:val="20"/>
        <w:szCs w:val="20"/>
      </w:rPr>
      <w:t>_PVN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61D1" w14:textId="01E8E185" w:rsidR="007F29A3" w:rsidRPr="00107608" w:rsidRDefault="007F29A3" w:rsidP="00846C68">
    <w:pPr>
      <w:pStyle w:val="Footer"/>
    </w:pPr>
    <w:r w:rsidRPr="00107608">
      <w:rPr>
        <w:rFonts w:ascii="Times New Roman" w:hAnsi="Times New Roman" w:cs="Times New Roman"/>
        <w:sz w:val="20"/>
        <w:szCs w:val="20"/>
      </w:rPr>
      <w:t>ZMZin_</w:t>
    </w:r>
    <w:r>
      <w:rPr>
        <w:rFonts w:ascii="Times New Roman" w:hAnsi="Times New Roman" w:cs="Times New Roman"/>
        <w:sz w:val="20"/>
        <w:szCs w:val="20"/>
      </w:rPr>
      <w:t>07072023</w:t>
    </w:r>
    <w:r w:rsidRPr="00107608">
      <w:rPr>
        <w:rFonts w:ascii="Times New Roman" w:hAnsi="Times New Roman" w:cs="Times New Roman"/>
        <w:sz w:val="20"/>
        <w:szCs w:val="20"/>
      </w:rPr>
      <w:t>_PVN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DA85" w14:textId="77777777" w:rsidR="006F25FD" w:rsidRDefault="006F25FD" w:rsidP="00DE0F41">
      <w:pPr>
        <w:spacing w:after="0" w:line="240" w:lineRule="auto"/>
      </w:pPr>
      <w:r>
        <w:separator/>
      </w:r>
    </w:p>
  </w:footnote>
  <w:footnote w:type="continuationSeparator" w:id="0">
    <w:p w14:paraId="3A471E78" w14:textId="77777777" w:rsidR="006F25FD" w:rsidRDefault="006F25FD" w:rsidP="00DE0F41">
      <w:pPr>
        <w:spacing w:after="0" w:line="240" w:lineRule="auto"/>
      </w:pPr>
      <w:r>
        <w:continuationSeparator/>
      </w:r>
    </w:p>
  </w:footnote>
  <w:footnote w:type="continuationNotice" w:id="1">
    <w:p w14:paraId="2E305FE5" w14:textId="77777777" w:rsidR="006F25FD" w:rsidRDefault="006F25FD">
      <w:pPr>
        <w:spacing w:after="0" w:line="240" w:lineRule="auto"/>
      </w:pPr>
    </w:p>
  </w:footnote>
  <w:footnote w:id="2">
    <w:p w14:paraId="12935B29" w14:textId="0AEF9F3E" w:rsidR="007F29A3" w:rsidRPr="001352C6" w:rsidRDefault="007F29A3" w:rsidP="00DE0F41">
      <w:pPr>
        <w:pStyle w:val="FootnoteText"/>
        <w:rPr>
          <w:rFonts w:ascii="Times New Roman" w:hAnsi="Times New Roman" w:cs="Times New Roman"/>
        </w:rPr>
      </w:pPr>
      <w:r w:rsidRPr="001352C6">
        <w:rPr>
          <w:rStyle w:val="FootnoteReference"/>
          <w:rFonts w:cs="Times New Roman"/>
        </w:rPr>
        <w:footnoteRef/>
      </w:r>
      <w:r w:rsidRPr="001352C6">
        <w:rPr>
          <w:rFonts w:ascii="Times New Roman" w:hAnsi="Times New Roman" w:cs="Times New Roman"/>
        </w:rPr>
        <w:t xml:space="preserve"> </w:t>
      </w:r>
      <w:r>
        <w:rPr>
          <w:rFonts w:ascii="Times New Roman" w:hAnsi="Times New Roman" w:cs="Times New Roman"/>
        </w:rPr>
        <w:t xml:space="preserve">Pieejams šeit: </w:t>
      </w:r>
      <w:hyperlink r:id="rId1" w:history="1">
        <w:r w:rsidRPr="00475180">
          <w:rPr>
            <w:rStyle w:val="Hyperlink"/>
            <w:rFonts w:ascii="Times New Roman" w:hAnsi="Times New Roman" w:cs="Times New Roman"/>
          </w:rPr>
          <w:t>http://tap.mk.gov.lv/mk/tap/?pid=40427819</w:t>
        </w:r>
      </w:hyperlink>
    </w:p>
  </w:footnote>
  <w:footnote w:id="3">
    <w:p w14:paraId="6509FEEE" w14:textId="445A5FE4" w:rsidR="007F29A3" w:rsidRPr="00E203D2" w:rsidRDefault="007F29A3">
      <w:pPr>
        <w:pStyle w:val="FootnoteText"/>
        <w:rPr>
          <w:rStyle w:val="FootnoteReference"/>
          <w:rFonts w:ascii="Times New Roman" w:hAnsi="Times New Roman" w:cs="Times New Roman"/>
          <w:vertAlign w:val="baseline"/>
        </w:rPr>
      </w:pPr>
      <w:r w:rsidRPr="00E203D2">
        <w:rPr>
          <w:rStyle w:val="FootnoteReference"/>
          <w:rFonts w:ascii="Times New Roman" w:hAnsi="Times New Roman" w:cs="Times New Roman"/>
        </w:rPr>
        <w:footnoteRef/>
      </w:r>
      <w:r w:rsidRPr="00E203D2">
        <w:rPr>
          <w:rStyle w:val="FootnoteReference"/>
          <w:rFonts w:ascii="Times New Roman" w:hAnsi="Times New Roman" w:cs="Times New Roman"/>
        </w:rPr>
        <w:t xml:space="preserve"> </w:t>
      </w:r>
      <w:r w:rsidRPr="00E203D2">
        <w:rPr>
          <w:rStyle w:val="FootnoteReference"/>
          <w:rFonts w:ascii="Times New Roman" w:hAnsi="Times New Roman" w:cs="Times New Roman"/>
          <w:vertAlign w:val="baseline"/>
        </w:rPr>
        <w:t>Pieejams šeit: https://tap.mk.gov.lv/mk/mksedes/saraksts/protokols/?protokols=2017-09-08</w:t>
      </w:r>
    </w:p>
  </w:footnote>
  <w:footnote w:id="4">
    <w:p w14:paraId="532805AC" w14:textId="068F5FC0" w:rsidR="007F29A3" w:rsidRPr="00DC1D31" w:rsidRDefault="007F29A3">
      <w:pPr>
        <w:pStyle w:val="FootnoteText"/>
        <w:rPr>
          <w:rStyle w:val="FootnoteReference"/>
          <w:rFonts w:ascii="Times New Roman" w:hAnsi="Times New Roman" w:cs="Times New Roman"/>
          <w:vertAlign w:val="baseline"/>
        </w:rPr>
      </w:pPr>
      <w:r>
        <w:rPr>
          <w:rStyle w:val="FootnoteReference"/>
        </w:rPr>
        <w:footnoteRef/>
      </w:r>
      <w:r>
        <w:t xml:space="preserve"> </w:t>
      </w:r>
      <w:r w:rsidRPr="00E203D2">
        <w:rPr>
          <w:rStyle w:val="FootnoteReference"/>
          <w:rFonts w:ascii="Times New Roman" w:hAnsi="Times New Roman" w:cs="Times New Roman"/>
          <w:vertAlign w:val="baseline"/>
        </w:rPr>
        <w:t xml:space="preserve">Pieejams šeit: </w:t>
      </w:r>
      <w:r w:rsidRPr="00DC1D31">
        <w:rPr>
          <w:rStyle w:val="FootnoteReference"/>
          <w:rFonts w:ascii="Times New Roman" w:hAnsi="Times New Roman" w:cs="Times New Roman"/>
          <w:vertAlign w:val="baseline"/>
        </w:rPr>
        <w:t>https://tap.mk.gov.lv/mk/mksedes/saraksts/protokols/?protokols=2017-10-03</w:t>
      </w:r>
    </w:p>
  </w:footnote>
  <w:footnote w:id="5">
    <w:p w14:paraId="4734E6A9" w14:textId="7AB74593" w:rsidR="007F29A3" w:rsidRPr="00B16F38" w:rsidRDefault="007F29A3">
      <w:pPr>
        <w:pStyle w:val="FootnoteText"/>
        <w:rPr>
          <w:rFonts w:ascii="Times New Roman" w:hAnsi="Times New Roman" w:cs="Times New Roman"/>
        </w:rPr>
      </w:pPr>
      <w:r w:rsidRPr="00B16F38">
        <w:rPr>
          <w:rStyle w:val="FootnoteReference"/>
          <w:rFonts w:ascii="Times New Roman" w:hAnsi="Times New Roman" w:cs="Times New Roman"/>
        </w:rPr>
        <w:footnoteRef/>
      </w:r>
      <w:r w:rsidRPr="00B16F38">
        <w:rPr>
          <w:rFonts w:ascii="Times New Roman" w:hAnsi="Times New Roman" w:cs="Times New Roman"/>
        </w:rPr>
        <w:t xml:space="preserve"> Pieejams šeit: https://tapportals.mk.gov.lv/legal_acts/734568a2-a87a-4409-bf0c-aaf77e0bf24d</w:t>
      </w:r>
    </w:p>
  </w:footnote>
  <w:footnote w:id="6">
    <w:p w14:paraId="4F7E354C" w14:textId="6BE891D6" w:rsidR="007F29A3" w:rsidRDefault="007F29A3">
      <w:pPr>
        <w:pStyle w:val="FootnoteText"/>
      </w:pPr>
      <w:r>
        <w:rPr>
          <w:rStyle w:val="FootnoteReference"/>
        </w:rPr>
        <w:footnoteRef/>
      </w:r>
      <w:r>
        <w:t xml:space="preserve"> </w:t>
      </w:r>
      <w:r w:rsidRPr="00B16F38">
        <w:rPr>
          <w:rFonts w:ascii="Times New Roman" w:hAnsi="Times New Roman" w:cs="Times New Roman"/>
        </w:rPr>
        <w:t xml:space="preserve">Pieejams </w:t>
      </w:r>
      <w:r w:rsidRPr="0070104F">
        <w:rPr>
          <w:rFonts w:ascii="Times New Roman" w:hAnsi="Times New Roman" w:cs="Times New Roman"/>
        </w:rPr>
        <w:t>šeit: https://tap.mk.gov.lv/mk/mksedes/saraksts/protokols/?protokols=2020-09-22</w:t>
      </w:r>
    </w:p>
  </w:footnote>
  <w:footnote w:id="7">
    <w:p w14:paraId="447A5FC4" w14:textId="0A574C97" w:rsidR="007F29A3" w:rsidRPr="006B06CA" w:rsidRDefault="007F29A3">
      <w:pPr>
        <w:pStyle w:val="FootnoteText"/>
        <w:rPr>
          <w:rFonts w:ascii="Times New Roman" w:hAnsi="Times New Roman" w:cs="Times New Roman"/>
        </w:rPr>
      </w:pPr>
      <w:r w:rsidRPr="006B06CA">
        <w:rPr>
          <w:rStyle w:val="FootnoteReference"/>
          <w:rFonts w:ascii="Times New Roman" w:hAnsi="Times New Roman" w:cs="Times New Roman"/>
        </w:rPr>
        <w:footnoteRef/>
      </w:r>
      <w:r w:rsidRPr="006B06CA">
        <w:rPr>
          <w:rFonts w:ascii="Times New Roman" w:hAnsi="Times New Roman" w:cs="Times New Roman"/>
        </w:rPr>
        <w:t xml:space="preserve"> </w:t>
      </w:r>
      <w:r>
        <w:rPr>
          <w:rFonts w:ascii="Times New Roman" w:hAnsi="Times New Roman" w:cs="Times New Roman"/>
        </w:rPr>
        <w:t>Atspoguļots i</w:t>
      </w:r>
      <w:r w:rsidRPr="006B06CA">
        <w:rPr>
          <w:rFonts w:ascii="Times New Roman" w:hAnsi="Times New Roman" w:cs="Times New Roman"/>
        </w:rPr>
        <w:t>nformatīvā ziņojum</w:t>
      </w:r>
      <w:r>
        <w:rPr>
          <w:rFonts w:ascii="Times New Roman" w:hAnsi="Times New Roman" w:cs="Times New Roman"/>
        </w:rPr>
        <w:t>a</w:t>
      </w:r>
      <w:r w:rsidRPr="006B06CA">
        <w:rPr>
          <w:rFonts w:ascii="Times New Roman" w:hAnsi="Times New Roman" w:cs="Times New Roman"/>
        </w:rPr>
        <w:t xml:space="preserve"> “Par priekšlikumiem valsts budžeta ieņēmumiem un izdevumiem 2021.</w:t>
      </w:r>
      <w:r>
        <w:rPr>
          <w:rFonts w:ascii="Times New Roman" w:hAnsi="Times New Roman" w:cs="Times New Roman"/>
        </w:rPr>
        <w:t> </w:t>
      </w:r>
      <w:r w:rsidRPr="006B06CA">
        <w:rPr>
          <w:rFonts w:ascii="Times New Roman" w:hAnsi="Times New Roman" w:cs="Times New Roman"/>
        </w:rPr>
        <w:t>gada</w:t>
      </w:r>
      <w:r>
        <w:rPr>
          <w:rFonts w:ascii="Times New Roman" w:hAnsi="Times New Roman" w:cs="Times New Roman"/>
        </w:rPr>
        <w:t>m</w:t>
      </w:r>
      <w:r w:rsidRPr="006B06CA">
        <w:rPr>
          <w:rFonts w:ascii="Times New Roman" w:hAnsi="Times New Roman" w:cs="Times New Roman"/>
        </w:rPr>
        <w:t xml:space="preserve"> un ietvaram 2021.</w:t>
      </w:r>
      <w:r>
        <w:rPr>
          <w:rFonts w:ascii="Times New Roman" w:hAnsi="Times New Roman" w:cs="Times New Roman"/>
        </w:rPr>
        <w:t>–</w:t>
      </w:r>
      <w:r w:rsidRPr="006B06CA">
        <w:rPr>
          <w:rFonts w:ascii="Times New Roman" w:hAnsi="Times New Roman" w:cs="Times New Roman"/>
        </w:rPr>
        <w:t>2023.</w:t>
      </w:r>
      <w:r>
        <w:rPr>
          <w:rFonts w:ascii="Times New Roman" w:hAnsi="Times New Roman" w:cs="Times New Roman"/>
        </w:rPr>
        <w:t xml:space="preserve"> </w:t>
      </w:r>
      <w:r w:rsidRPr="006B06CA">
        <w:rPr>
          <w:rFonts w:ascii="Times New Roman" w:hAnsi="Times New Roman" w:cs="Times New Roman"/>
        </w:rPr>
        <w:t>gadam” 5.1. apakšpunktā</w:t>
      </w:r>
      <w:r>
        <w:rPr>
          <w:rFonts w:ascii="Times New Roman" w:hAnsi="Times New Roman" w:cs="Times New Roman"/>
        </w:rPr>
        <w:t>;</w:t>
      </w:r>
      <w:r w:rsidRPr="006B06CA">
        <w:rPr>
          <w:rFonts w:ascii="Times New Roman" w:hAnsi="Times New Roman" w:cs="Times New Roman"/>
        </w:rPr>
        <w:t xml:space="preserve"> pieejams šeit</w:t>
      </w:r>
      <w:r>
        <w:rPr>
          <w:rFonts w:ascii="Times New Roman" w:hAnsi="Times New Roman" w:cs="Times New Roman"/>
        </w:rPr>
        <w:t xml:space="preserve">: </w:t>
      </w:r>
      <w:r w:rsidRPr="006B06CA">
        <w:rPr>
          <w:rFonts w:ascii="Times New Roman" w:hAnsi="Times New Roman" w:cs="Times New Roman"/>
        </w:rPr>
        <w:t>https://tap.mk.gov.lv/lv/mk/tap/?pid=40491864&amp;mode=mk&amp;date=2020-09-22</w:t>
      </w:r>
    </w:p>
  </w:footnote>
  <w:footnote w:id="8">
    <w:p w14:paraId="439B7BAE" w14:textId="661FE045" w:rsidR="007F29A3" w:rsidRPr="007778C2" w:rsidRDefault="007F29A3">
      <w:pPr>
        <w:pStyle w:val="FootnoteText"/>
        <w:rPr>
          <w:rFonts w:ascii="Times New Roman" w:hAnsi="Times New Roman" w:cs="Times New Roman"/>
        </w:rPr>
      </w:pPr>
      <w:r w:rsidRPr="007778C2">
        <w:rPr>
          <w:rStyle w:val="FootnoteReference"/>
          <w:rFonts w:ascii="Times New Roman" w:hAnsi="Times New Roman" w:cs="Times New Roman"/>
        </w:rPr>
        <w:footnoteRef/>
      </w:r>
      <w:r w:rsidRPr="007778C2">
        <w:rPr>
          <w:rFonts w:ascii="Times New Roman" w:hAnsi="Times New Roman" w:cs="Times New Roman"/>
        </w:rPr>
        <w:t xml:space="preserve"> Pieejams šeit: https://tap.mk.gov.lv/mk/mksedes/saraksts/protokols/?protokols=2020-09-30</w:t>
      </w:r>
    </w:p>
  </w:footnote>
  <w:footnote w:id="9">
    <w:p w14:paraId="53990BB8" w14:textId="2BDC3E97" w:rsidR="007F29A3" w:rsidRPr="00E37EB2" w:rsidRDefault="007F29A3">
      <w:pPr>
        <w:pStyle w:val="FootnoteText"/>
        <w:rPr>
          <w:rFonts w:ascii="Times New Roman" w:hAnsi="Times New Roman" w:cs="Times New Roman"/>
        </w:rPr>
      </w:pPr>
      <w:r w:rsidRPr="00E37EB2">
        <w:rPr>
          <w:rFonts w:ascii="Times New Roman" w:hAnsi="Times New Roman" w:cs="Times New Roman"/>
        </w:rPr>
        <w:t>*2020.</w:t>
      </w:r>
      <w:r>
        <w:rPr>
          <w:rFonts w:ascii="Times New Roman" w:hAnsi="Times New Roman" w:cs="Times New Roman"/>
        </w:rPr>
        <w:t> </w:t>
      </w:r>
      <w:r w:rsidRPr="00E37EB2">
        <w:rPr>
          <w:rFonts w:ascii="Times New Roman" w:hAnsi="Times New Roman" w:cs="Times New Roman"/>
        </w:rPr>
        <w:t>gada</w:t>
      </w:r>
      <w:r w:rsidRPr="00E37EB2">
        <w:rPr>
          <w:rFonts w:ascii="Times New Roman" w:hAnsi="Times New Roman" w:cs="Times New Roman"/>
          <w:bCs/>
        </w:rPr>
        <w:t xml:space="preserve"> Pievienotās vērtības nodokļa likumā noteikto augļu, ogu un dārzeņu izlaides vērtība ņemta vērā</w:t>
      </w:r>
      <w:r>
        <w:rPr>
          <w:rFonts w:ascii="Times New Roman" w:hAnsi="Times New Roman" w:cs="Times New Roman"/>
          <w:bCs/>
        </w:rPr>
        <w:t>,</w:t>
      </w:r>
      <w:r w:rsidRPr="00E37EB2">
        <w:rPr>
          <w:rFonts w:ascii="Times New Roman" w:hAnsi="Times New Roman" w:cs="Times New Roman"/>
          <w:bCs/>
        </w:rPr>
        <w:t xml:space="preserve"> pamatojoties uz </w:t>
      </w:r>
      <w:proofErr w:type="spellStart"/>
      <w:r w:rsidRPr="00E37EB2">
        <w:rPr>
          <w:rFonts w:ascii="Times New Roman" w:hAnsi="Times New Roman" w:cs="Times New Roman"/>
        </w:rPr>
        <w:t>Agroresursu</w:t>
      </w:r>
      <w:proofErr w:type="spellEnd"/>
      <w:r w:rsidRPr="00E37EB2">
        <w:rPr>
          <w:rFonts w:ascii="Times New Roman" w:hAnsi="Times New Roman" w:cs="Times New Roman"/>
        </w:rPr>
        <w:t xml:space="preserve"> un ekonomikas institūta prognozi </w:t>
      </w:r>
      <w:r>
        <w:rPr>
          <w:rFonts w:ascii="Times New Roman" w:hAnsi="Times New Roman" w:cs="Times New Roman"/>
        </w:rPr>
        <w:t>līdz</w:t>
      </w:r>
      <w:r w:rsidRPr="00E37EB2">
        <w:rPr>
          <w:rFonts w:ascii="Times New Roman" w:hAnsi="Times New Roman" w:cs="Times New Roman"/>
        </w:rPr>
        <w:t xml:space="preserve"> 2023.</w:t>
      </w:r>
      <w:r>
        <w:rPr>
          <w:rFonts w:ascii="Times New Roman" w:hAnsi="Times New Roman" w:cs="Times New Roman"/>
        </w:rPr>
        <w:t xml:space="preserve"> </w:t>
      </w:r>
      <w:r w:rsidRPr="00E37EB2">
        <w:rPr>
          <w:rFonts w:ascii="Times New Roman" w:hAnsi="Times New Roman" w:cs="Times New Roman"/>
        </w:rPr>
        <w:t>mart</w:t>
      </w:r>
      <w:r>
        <w:rPr>
          <w:rFonts w:ascii="Times New Roman" w:hAnsi="Times New Roman" w:cs="Times New Roman"/>
        </w:rPr>
        <w:t>am.</w:t>
      </w:r>
    </w:p>
  </w:footnote>
  <w:footnote w:id="10">
    <w:p w14:paraId="1C7BF257" w14:textId="47418145" w:rsidR="007F29A3" w:rsidRPr="00872C00" w:rsidRDefault="007F29A3">
      <w:pPr>
        <w:pStyle w:val="FootnoteText"/>
        <w:rPr>
          <w:rFonts w:ascii="Times New Roman" w:hAnsi="Times New Roman" w:cs="Times New Roman"/>
        </w:rPr>
      </w:pPr>
      <w:r w:rsidRPr="0029126A">
        <w:rPr>
          <w:rStyle w:val="FootnoteReference"/>
          <w:rFonts w:ascii="Times New Roman" w:hAnsi="Times New Roman" w:cs="Times New Roman"/>
        </w:rPr>
        <w:footnoteRef/>
      </w:r>
      <w:r w:rsidRPr="0029126A">
        <w:rPr>
          <w:rFonts w:ascii="Times New Roman" w:hAnsi="Times New Roman" w:cs="Times New Roman"/>
        </w:rPr>
        <w:t xml:space="preserve"> PVN deklarācij</w:t>
      </w:r>
      <w:r>
        <w:rPr>
          <w:rFonts w:ascii="Times New Roman" w:hAnsi="Times New Roman" w:cs="Times New Roman"/>
        </w:rPr>
        <w:t>as</w:t>
      </w:r>
      <w:r w:rsidRPr="0029126A">
        <w:rPr>
          <w:rFonts w:ascii="Times New Roman" w:hAnsi="Times New Roman" w:cs="Times New Roman"/>
        </w:rPr>
        <w:t xml:space="preserve"> 42.</w:t>
      </w:r>
      <w:r w:rsidRPr="00054852">
        <w:rPr>
          <w:rFonts w:ascii="Times New Roman" w:hAnsi="Times New Roman" w:cs="Times New Roman"/>
          <w:vertAlign w:val="superscript"/>
        </w:rPr>
        <w:t>1</w:t>
      </w:r>
      <w:r w:rsidRPr="0029126A">
        <w:rPr>
          <w:rFonts w:ascii="Times New Roman" w:hAnsi="Times New Roman" w:cs="Times New Roman"/>
        </w:rPr>
        <w:t xml:space="preserve"> rinda (</w:t>
      </w:r>
      <w:r>
        <w:rPr>
          <w:rFonts w:ascii="Times New Roman" w:hAnsi="Times New Roman" w:cs="Times New Roman"/>
        </w:rPr>
        <w:t>d</w:t>
      </w:r>
      <w:r w:rsidRPr="0029126A">
        <w:rPr>
          <w:rFonts w:ascii="Times New Roman" w:hAnsi="Times New Roman" w:cs="Times New Roman"/>
        </w:rPr>
        <w:t>arījumiem ar Pievienotās vērtības nodokļa likuma 1.</w:t>
      </w:r>
      <w:r>
        <w:rPr>
          <w:rFonts w:ascii="Times New Roman" w:hAnsi="Times New Roman" w:cs="Times New Roman"/>
        </w:rPr>
        <w:t xml:space="preserve"> </w:t>
      </w:r>
      <w:r w:rsidRPr="0029126A">
        <w:rPr>
          <w:rFonts w:ascii="Times New Roman" w:hAnsi="Times New Roman" w:cs="Times New Roman"/>
        </w:rPr>
        <w:t>pielikumā noteiktajiem svaigiem augļiem, ogām un dārzeņiem</w:t>
      </w:r>
      <w:r>
        <w:rPr>
          <w:rFonts w:ascii="Times New Roman" w:hAnsi="Times New Roman" w:cs="Times New Roman"/>
        </w:rPr>
        <w:t>. Tā kā, sākot ar 2022. gadu samazināto 5 % PVN likmi piemēro arī grāmatām un preses izdevumiem, tad 2020. gadā PVN deklarācijas 42.</w:t>
      </w:r>
      <w:r w:rsidRPr="005C4976">
        <w:rPr>
          <w:rFonts w:ascii="Times New Roman" w:hAnsi="Times New Roman" w:cs="Times New Roman"/>
          <w:vertAlign w:val="superscript"/>
        </w:rPr>
        <w:t>1</w:t>
      </w:r>
      <w:r>
        <w:rPr>
          <w:rFonts w:ascii="Times New Roman" w:hAnsi="Times New Roman" w:cs="Times New Roman"/>
        </w:rPr>
        <w:t xml:space="preserve"> rindas vērtībai piemērots koeficients </w:t>
      </w:r>
      <w:r w:rsidRPr="00872C00">
        <w:rPr>
          <w:rFonts w:ascii="Times New Roman" w:hAnsi="Times New Roman" w:cs="Times New Roman"/>
        </w:rPr>
        <w:t>76,84)</w:t>
      </w:r>
      <w:r>
        <w:rPr>
          <w:rFonts w:ascii="Times New Roman" w:hAnsi="Times New Roman" w:cs="Times New Roman"/>
        </w:rPr>
        <w:t>.</w:t>
      </w:r>
    </w:p>
  </w:footnote>
  <w:footnote w:id="11">
    <w:p w14:paraId="1DC210BB" w14:textId="2DA6D61F" w:rsidR="007F29A3" w:rsidRDefault="007F29A3">
      <w:pPr>
        <w:pStyle w:val="FootnoteText"/>
      </w:pPr>
      <w:r w:rsidRPr="00872C00">
        <w:rPr>
          <w:rStyle w:val="FootnoteReference"/>
          <w:rFonts w:ascii="Times New Roman" w:hAnsi="Times New Roman" w:cs="Times New Roman"/>
        </w:rPr>
        <w:footnoteRef/>
      </w:r>
      <w:r w:rsidRPr="00872C00">
        <w:rPr>
          <w:rFonts w:ascii="Times New Roman" w:hAnsi="Times New Roman" w:cs="Times New Roman"/>
        </w:rPr>
        <w:t xml:space="preserve"> PVN deklarācij</w:t>
      </w:r>
      <w:r>
        <w:rPr>
          <w:rFonts w:ascii="Times New Roman" w:hAnsi="Times New Roman" w:cs="Times New Roman"/>
        </w:rPr>
        <w:t>as</w:t>
      </w:r>
      <w:r w:rsidRPr="00872C00">
        <w:rPr>
          <w:rFonts w:ascii="Times New Roman" w:hAnsi="Times New Roman" w:cs="Times New Roman"/>
        </w:rPr>
        <w:t xml:space="preserve"> 40.</w:t>
      </w:r>
      <w:r>
        <w:rPr>
          <w:rFonts w:ascii="Times New Roman" w:hAnsi="Times New Roman" w:cs="Times New Roman"/>
        </w:rPr>
        <w:t xml:space="preserve"> </w:t>
      </w:r>
      <w:r w:rsidRPr="00872C00">
        <w:rPr>
          <w:rFonts w:ascii="Times New Roman" w:hAnsi="Times New Roman" w:cs="Times New Roman"/>
        </w:rPr>
        <w:t>rinda, neieskaitot 42.</w:t>
      </w:r>
      <w:r w:rsidRPr="00872C00">
        <w:rPr>
          <w:rFonts w:ascii="Times New Roman" w:hAnsi="Times New Roman" w:cs="Times New Roman"/>
          <w:vertAlign w:val="superscript"/>
        </w:rPr>
        <w:t>1</w:t>
      </w:r>
      <w:r w:rsidRPr="00872C00">
        <w:rPr>
          <w:rFonts w:ascii="Times New Roman" w:hAnsi="Times New Roman" w:cs="Times New Roman"/>
        </w:rPr>
        <w:t xml:space="preserve"> rindu (</w:t>
      </w:r>
      <w:r>
        <w:rPr>
          <w:rFonts w:ascii="Times New Roman" w:hAnsi="Times New Roman" w:cs="Times New Roman"/>
        </w:rPr>
        <w:t>d</w:t>
      </w:r>
      <w:r w:rsidRPr="00872C00">
        <w:rPr>
          <w:rFonts w:ascii="Times New Roman" w:hAnsi="Times New Roman" w:cs="Times New Roman"/>
        </w:rPr>
        <w:t>arījumiem ar Pievienotās vērtības nodokļa likuma 1.</w:t>
      </w:r>
      <w:r>
        <w:rPr>
          <w:rFonts w:ascii="Times New Roman" w:hAnsi="Times New Roman" w:cs="Times New Roman"/>
        </w:rPr>
        <w:t> </w:t>
      </w:r>
      <w:r w:rsidRPr="00872C00">
        <w:rPr>
          <w:rFonts w:ascii="Times New Roman" w:hAnsi="Times New Roman" w:cs="Times New Roman"/>
        </w:rPr>
        <w:t>pielikumā noteiktajiem svaigiem augļiem, ogām un dārzeņiem)</w:t>
      </w:r>
      <w:r>
        <w:rPr>
          <w:rFonts w:ascii="Times New Roman" w:hAnsi="Times New Roman" w:cs="Times New Roman"/>
        </w:rPr>
        <w:t>.</w:t>
      </w:r>
    </w:p>
  </w:footnote>
  <w:footnote w:id="12">
    <w:p w14:paraId="12F1BCBD" w14:textId="1408FC20" w:rsidR="007F29A3" w:rsidRPr="00A44D6B" w:rsidRDefault="007F29A3">
      <w:pPr>
        <w:pStyle w:val="FootnoteText"/>
        <w:rPr>
          <w:rFonts w:ascii="Times New Roman" w:hAnsi="Times New Roman" w:cs="Times New Roman"/>
        </w:rPr>
      </w:pPr>
      <w:r w:rsidRPr="00A44D6B">
        <w:rPr>
          <w:rStyle w:val="FootnoteReference"/>
          <w:rFonts w:ascii="Times New Roman" w:hAnsi="Times New Roman" w:cs="Times New Roman"/>
        </w:rPr>
        <w:footnoteRef/>
      </w:r>
      <w:r w:rsidRPr="00A44D6B">
        <w:rPr>
          <w:rFonts w:ascii="Times New Roman" w:hAnsi="Times New Roman" w:cs="Times New Roman"/>
        </w:rPr>
        <w:t xml:space="preserve"> 05/Publiskoti_ikgadeja_Enu_ekonomikas_indeksa_rezultati_30.05.2023..docx </w:t>
      </w:r>
    </w:p>
  </w:footnote>
  <w:footnote w:id="13">
    <w:p w14:paraId="3F2BCA82" w14:textId="1F984865" w:rsidR="007F29A3" w:rsidRPr="003606D9" w:rsidRDefault="007F29A3" w:rsidP="0048136C">
      <w:pPr>
        <w:pStyle w:val="Default"/>
        <w:jc w:val="both"/>
        <w:rPr>
          <w:color w:val="000000" w:themeColor="text1"/>
          <w:sz w:val="20"/>
          <w:szCs w:val="20"/>
        </w:rPr>
      </w:pPr>
      <w:r>
        <w:rPr>
          <w:rStyle w:val="FootnoteReference"/>
        </w:rPr>
        <w:footnoteRef/>
      </w:r>
      <w:r>
        <w:t xml:space="preserve"> </w:t>
      </w:r>
      <w:r w:rsidRPr="00503848">
        <w:rPr>
          <w:color w:val="000000" w:themeColor="text1"/>
          <w:sz w:val="20"/>
          <w:szCs w:val="20"/>
        </w:rPr>
        <w:t>https://www.fm.gov.lv/lv/petijumi-par-enu-ekonomikas-apjomu</w:t>
      </w:r>
    </w:p>
  </w:footnote>
  <w:footnote w:id="14">
    <w:p w14:paraId="69E8273A" w14:textId="77777777" w:rsidR="007F29A3" w:rsidRPr="005E7203" w:rsidRDefault="007F29A3" w:rsidP="00DE0F41">
      <w:pPr>
        <w:pStyle w:val="FootnoteText"/>
        <w:rPr>
          <w:rFonts w:ascii="Times New Roman" w:hAnsi="Times New Roman" w:cs="Times New Roman"/>
        </w:rPr>
      </w:pPr>
      <w:r w:rsidRPr="005E7203">
        <w:rPr>
          <w:rStyle w:val="FootnoteReference"/>
          <w:rFonts w:ascii="Times New Roman" w:hAnsi="Times New Roman" w:cs="Times New Roman"/>
        </w:rPr>
        <w:footnoteRef/>
      </w:r>
      <w:hyperlink r:id="rId2" w:history="1">
        <w:r w:rsidRPr="005E7203">
          <w:rPr>
            <w:rStyle w:val="Hyperlink"/>
            <w:rFonts w:ascii="Times New Roman" w:hAnsi="Times New Roman" w:cs="Times New Roman"/>
          </w:rPr>
          <w:t>http://titania.saeima.lv/LIVS12/SaeimaLIVS12.nsf/0/820E69C33B166D25C22581B60027D0B0?OpenDocument</w:t>
        </w:r>
      </w:hyperlink>
    </w:p>
  </w:footnote>
  <w:footnote w:id="15">
    <w:p w14:paraId="7DA69603" w14:textId="062BCD47" w:rsidR="007F29A3" w:rsidRDefault="007F29A3">
      <w:pPr>
        <w:pStyle w:val="FootnoteText"/>
      </w:pPr>
      <w:r w:rsidRPr="005E7203">
        <w:rPr>
          <w:rStyle w:val="FootnoteReference"/>
          <w:rFonts w:ascii="Times New Roman" w:hAnsi="Times New Roman" w:cs="Times New Roman"/>
        </w:rPr>
        <w:footnoteRef/>
      </w:r>
      <w:hyperlink r:id="rId3" w:history="1">
        <w:r w:rsidRPr="004B0A8C">
          <w:rPr>
            <w:rStyle w:val="Hyperlink"/>
            <w:rFonts w:ascii="Times New Roman" w:hAnsi="Times New Roman" w:cs="Times New Roman"/>
          </w:rPr>
          <w:t>https://titania.saeima.lv/LIVS13/SaeimaLIVS13.nsf/0/50E60068CEE6D03AC22585FC0041F62F?OpenDocument</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235458"/>
      <w:docPartObj>
        <w:docPartGallery w:val="Page Numbers (Top of Page)"/>
        <w:docPartUnique/>
      </w:docPartObj>
    </w:sdtPr>
    <w:sdtEndPr>
      <w:rPr>
        <w:rFonts w:ascii="Times New Roman" w:hAnsi="Times New Roman" w:cs="Times New Roman"/>
        <w:sz w:val="24"/>
        <w:szCs w:val="24"/>
      </w:rPr>
    </w:sdtEndPr>
    <w:sdtContent>
      <w:p w14:paraId="794B7EF3" w14:textId="77777777" w:rsidR="007F29A3" w:rsidRPr="00C47438" w:rsidRDefault="007F29A3">
        <w:pPr>
          <w:pStyle w:val="Header"/>
          <w:jc w:val="center"/>
          <w:rPr>
            <w:rFonts w:ascii="Times New Roman" w:hAnsi="Times New Roman" w:cs="Times New Roman"/>
            <w:sz w:val="24"/>
            <w:szCs w:val="24"/>
          </w:rPr>
        </w:pPr>
        <w:r w:rsidRPr="00C47438">
          <w:rPr>
            <w:rFonts w:ascii="Times New Roman" w:hAnsi="Times New Roman" w:cs="Times New Roman"/>
            <w:sz w:val="24"/>
            <w:szCs w:val="24"/>
          </w:rPr>
          <w:fldChar w:fldCharType="begin"/>
        </w:r>
        <w:r w:rsidRPr="00C47438">
          <w:rPr>
            <w:rFonts w:ascii="Times New Roman" w:hAnsi="Times New Roman" w:cs="Times New Roman"/>
            <w:sz w:val="24"/>
            <w:szCs w:val="24"/>
          </w:rPr>
          <w:instrText>PAGE   \* MERGEFORMAT</w:instrText>
        </w:r>
        <w:r w:rsidRPr="00C47438">
          <w:rPr>
            <w:rFonts w:ascii="Times New Roman" w:hAnsi="Times New Roman" w:cs="Times New Roman"/>
            <w:sz w:val="24"/>
            <w:szCs w:val="24"/>
          </w:rPr>
          <w:fldChar w:fldCharType="separate"/>
        </w:r>
        <w:r w:rsidR="00842586">
          <w:rPr>
            <w:rFonts w:ascii="Times New Roman" w:hAnsi="Times New Roman" w:cs="Times New Roman"/>
            <w:noProof/>
            <w:sz w:val="24"/>
            <w:szCs w:val="24"/>
          </w:rPr>
          <w:t>21</w:t>
        </w:r>
        <w:r w:rsidRPr="00C47438">
          <w:rPr>
            <w:rFonts w:ascii="Times New Roman" w:hAnsi="Times New Roman" w:cs="Times New Roman"/>
            <w:sz w:val="24"/>
            <w:szCs w:val="24"/>
          </w:rPr>
          <w:fldChar w:fldCharType="end"/>
        </w:r>
      </w:p>
    </w:sdtContent>
  </w:sdt>
  <w:p w14:paraId="6052179A" w14:textId="77777777" w:rsidR="007F29A3" w:rsidRDefault="007F2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D8"/>
    <w:multiLevelType w:val="multilevel"/>
    <w:tmpl w:val="2F346A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CD1A05"/>
    <w:multiLevelType w:val="hybridMultilevel"/>
    <w:tmpl w:val="E230FF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600C7E"/>
    <w:multiLevelType w:val="hybridMultilevel"/>
    <w:tmpl w:val="EAA42AC2"/>
    <w:lvl w:ilvl="0" w:tplc="D4764F9E">
      <w:start w:val="1"/>
      <w:numFmt w:val="bullet"/>
      <w:lvlText w:val="•"/>
      <w:lvlJc w:val="left"/>
      <w:pPr>
        <w:tabs>
          <w:tab w:val="num" w:pos="720"/>
        </w:tabs>
        <w:ind w:left="720" w:hanging="360"/>
      </w:pPr>
      <w:rPr>
        <w:rFonts w:ascii="Arial" w:hAnsi="Arial" w:hint="default"/>
      </w:rPr>
    </w:lvl>
    <w:lvl w:ilvl="1" w:tplc="D5188DF8" w:tentative="1">
      <w:start w:val="1"/>
      <w:numFmt w:val="bullet"/>
      <w:lvlText w:val="•"/>
      <w:lvlJc w:val="left"/>
      <w:pPr>
        <w:tabs>
          <w:tab w:val="num" w:pos="1440"/>
        </w:tabs>
        <w:ind w:left="1440" w:hanging="360"/>
      </w:pPr>
      <w:rPr>
        <w:rFonts w:ascii="Arial" w:hAnsi="Arial" w:hint="default"/>
      </w:rPr>
    </w:lvl>
    <w:lvl w:ilvl="2" w:tplc="D82207DA" w:tentative="1">
      <w:start w:val="1"/>
      <w:numFmt w:val="bullet"/>
      <w:lvlText w:val="•"/>
      <w:lvlJc w:val="left"/>
      <w:pPr>
        <w:tabs>
          <w:tab w:val="num" w:pos="2160"/>
        </w:tabs>
        <w:ind w:left="2160" w:hanging="360"/>
      </w:pPr>
      <w:rPr>
        <w:rFonts w:ascii="Arial" w:hAnsi="Arial" w:hint="default"/>
      </w:rPr>
    </w:lvl>
    <w:lvl w:ilvl="3" w:tplc="8144A092" w:tentative="1">
      <w:start w:val="1"/>
      <w:numFmt w:val="bullet"/>
      <w:lvlText w:val="•"/>
      <w:lvlJc w:val="left"/>
      <w:pPr>
        <w:tabs>
          <w:tab w:val="num" w:pos="2880"/>
        </w:tabs>
        <w:ind w:left="2880" w:hanging="360"/>
      </w:pPr>
      <w:rPr>
        <w:rFonts w:ascii="Arial" w:hAnsi="Arial" w:hint="default"/>
      </w:rPr>
    </w:lvl>
    <w:lvl w:ilvl="4" w:tplc="A6BA9DEA" w:tentative="1">
      <w:start w:val="1"/>
      <w:numFmt w:val="bullet"/>
      <w:lvlText w:val="•"/>
      <w:lvlJc w:val="left"/>
      <w:pPr>
        <w:tabs>
          <w:tab w:val="num" w:pos="3600"/>
        </w:tabs>
        <w:ind w:left="3600" w:hanging="360"/>
      </w:pPr>
      <w:rPr>
        <w:rFonts w:ascii="Arial" w:hAnsi="Arial" w:hint="default"/>
      </w:rPr>
    </w:lvl>
    <w:lvl w:ilvl="5" w:tplc="A9360DE2" w:tentative="1">
      <w:start w:val="1"/>
      <w:numFmt w:val="bullet"/>
      <w:lvlText w:val="•"/>
      <w:lvlJc w:val="left"/>
      <w:pPr>
        <w:tabs>
          <w:tab w:val="num" w:pos="4320"/>
        </w:tabs>
        <w:ind w:left="4320" w:hanging="360"/>
      </w:pPr>
      <w:rPr>
        <w:rFonts w:ascii="Arial" w:hAnsi="Arial" w:hint="default"/>
      </w:rPr>
    </w:lvl>
    <w:lvl w:ilvl="6" w:tplc="FA1CB41C" w:tentative="1">
      <w:start w:val="1"/>
      <w:numFmt w:val="bullet"/>
      <w:lvlText w:val="•"/>
      <w:lvlJc w:val="left"/>
      <w:pPr>
        <w:tabs>
          <w:tab w:val="num" w:pos="5040"/>
        </w:tabs>
        <w:ind w:left="5040" w:hanging="360"/>
      </w:pPr>
      <w:rPr>
        <w:rFonts w:ascii="Arial" w:hAnsi="Arial" w:hint="default"/>
      </w:rPr>
    </w:lvl>
    <w:lvl w:ilvl="7" w:tplc="4718B2FA" w:tentative="1">
      <w:start w:val="1"/>
      <w:numFmt w:val="bullet"/>
      <w:lvlText w:val="•"/>
      <w:lvlJc w:val="left"/>
      <w:pPr>
        <w:tabs>
          <w:tab w:val="num" w:pos="5760"/>
        </w:tabs>
        <w:ind w:left="5760" w:hanging="360"/>
      </w:pPr>
      <w:rPr>
        <w:rFonts w:ascii="Arial" w:hAnsi="Arial" w:hint="default"/>
      </w:rPr>
    </w:lvl>
    <w:lvl w:ilvl="8" w:tplc="B106B6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D17A0"/>
    <w:multiLevelType w:val="hybridMultilevel"/>
    <w:tmpl w:val="1F08F4A0"/>
    <w:lvl w:ilvl="0" w:tplc="48565E10">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AC1837"/>
    <w:multiLevelType w:val="multilevel"/>
    <w:tmpl w:val="602CED50"/>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9C245D"/>
    <w:multiLevelType w:val="hybridMultilevel"/>
    <w:tmpl w:val="5C162B2A"/>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2A7E9B"/>
    <w:multiLevelType w:val="multilevel"/>
    <w:tmpl w:val="A0FA01D0"/>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B262967"/>
    <w:multiLevelType w:val="hybridMultilevel"/>
    <w:tmpl w:val="2612D43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5E2829"/>
    <w:multiLevelType w:val="multilevel"/>
    <w:tmpl w:val="BB4005A4"/>
    <w:lvl w:ilvl="0">
      <w:start w:val="4"/>
      <w:numFmt w:val="decimal"/>
      <w:lvlText w:val="%1."/>
      <w:lvlJc w:val="left"/>
      <w:pPr>
        <w:ind w:left="360" w:hanging="360"/>
      </w:pPr>
      <w:rPr>
        <w:rFonts w:eastAsiaTheme="minorHAnsi" w:hint="default"/>
        <w:b w:val="0"/>
      </w:rPr>
    </w:lvl>
    <w:lvl w:ilvl="1">
      <w:start w:val="1"/>
      <w:numFmt w:val="decimal"/>
      <w:lvlText w:val="%1.%2."/>
      <w:lvlJc w:val="left"/>
      <w:pPr>
        <w:ind w:left="1106" w:hanging="360"/>
      </w:pPr>
      <w:rPr>
        <w:rFonts w:eastAsiaTheme="minorHAnsi" w:hint="default"/>
        <w:b w:val="0"/>
      </w:rPr>
    </w:lvl>
    <w:lvl w:ilvl="2">
      <w:start w:val="1"/>
      <w:numFmt w:val="decimal"/>
      <w:lvlText w:val="%1.%2.%3."/>
      <w:lvlJc w:val="left"/>
      <w:pPr>
        <w:ind w:left="2212" w:hanging="720"/>
      </w:pPr>
      <w:rPr>
        <w:rFonts w:eastAsiaTheme="minorHAnsi" w:hint="default"/>
        <w:b w:val="0"/>
      </w:rPr>
    </w:lvl>
    <w:lvl w:ilvl="3">
      <w:start w:val="1"/>
      <w:numFmt w:val="decimal"/>
      <w:lvlText w:val="%1.%2.%3.%4."/>
      <w:lvlJc w:val="left"/>
      <w:pPr>
        <w:ind w:left="2958" w:hanging="720"/>
      </w:pPr>
      <w:rPr>
        <w:rFonts w:eastAsiaTheme="minorHAnsi" w:hint="default"/>
        <w:b w:val="0"/>
      </w:rPr>
    </w:lvl>
    <w:lvl w:ilvl="4">
      <w:start w:val="1"/>
      <w:numFmt w:val="decimal"/>
      <w:lvlText w:val="%1.%2.%3.%4.%5."/>
      <w:lvlJc w:val="left"/>
      <w:pPr>
        <w:ind w:left="4064" w:hanging="1080"/>
      </w:pPr>
      <w:rPr>
        <w:rFonts w:eastAsiaTheme="minorHAnsi" w:hint="default"/>
        <w:b w:val="0"/>
      </w:rPr>
    </w:lvl>
    <w:lvl w:ilvl="5">
      <w:start w:val="1"/>
      <w:numFmt w:val="decimal"/>
      <w:lvlText w:val="%1.%2.%3.%4.%5.%6."/>
      <w:lvlJc w:val="left"/>
      <w:pPr>
        <w:ind w:left="4810" w:hanging="1080"/>
      </w:pPr>
      <w:rPr>
        <w:rFonts w:eastAsiaTheme="minorHAnsi" w:hint="default"/>
        <w:b w:val="0"/>
      </w:rPr>
    </w:lvl>
    <w:lvl w:ilvl="6">
      <w:start w:val="1"/>
      <w:numFmt w:val="decimal"/>
      <w:lvlText w:val="%1.%2.%3.%4.%5.%6.%7."/>
      <w:lvlJc w:val="left"/>
      <w:pPr>
        <w:ind w:left="5916" w:hanging="1440"/>
      </w:pPr>
      <w:rPr>
        <w:rFonts w:eastAsiaTheme="minorHAnsi" w:hint="default"/>
        <w:b w:val="0"/>
      </w:rPr>
    </w:lvl>
    <w:lvl w:ilvl="7">
      <w:start w:val="1"/>
      <w:numFmt w:val="decimal"/>
      <w:lvlText w:val="%1.%2.%3.%4.%5.%6.%7.%8."/>
      <w:lvlJc w:val="left"/>
      <w:pPr>
        <w:ind w:left="6662" w:hanging="1440"/>
      </w:pPr>
      <w:rPr>
        <w:rFonts w:eastAsiaTheme="minorHAnsi" w:hint="default"/>
        <w:b w:val="0"/>
      </w:rPr>
    </w:lvl>
    <w:lvl w:ilvl="8">
      <w:start w:val="1"/>
      <w:numFmt w:val="decimal"/>
      <w:lvlText w:val="%1.%2.%3.%4.%5.%6.%7.%8.%9."/>
      <w:lvlJc w:val="left"/>
      <w:pPr>
        <w:ind w:left="7768" w:hanging="1800"/>
      </w:pPr>
      <w:rPr>
        <w:rFonts w:eastAsiaTheme="minorHAnsi" w:hint="default"/>
        <w:b w:val="0"/>
      </w:rPr>
    </w:lvl>
  </w:abstractNum>
  <w:abstractNum w:abstractNumId="9" w15:restartNumberingAfterBreak="0">
    <w:nsid w:val="1C10358B"/>
    <w:multiLevelType w:val="hybridMultilevel"/>
    <w:tmpl w:val="829C064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E41631F"/>
    <w:multiLevelType w:val="multilevel"/>
    <w:tmpl w:val="DC6A91F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1">
    <w:nsid w:val="202320AF"/>
    <w:multiLevelType w:val="multilevel"/>
    <w:tmpl w:val="C72EBF8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15:restartNumberingAfterBreak="0">
    <w:nsid w:val="20300717"/>
    <w:multiLevelType w:val="multilevel"/>
    <w:tmpl w:val="95CC373C"/>
    <w:lvl w:ilvl="0">
      <w:start w:val="2"/>
      <w:numFmt w:val="decimal"/>
      <w:lvlText w:val="%1."/>
      <w:lvlJc w:val="left"/>
      <w:pPr>
        <w:ind w:left="928"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0B625CB"/>
    <w:multiLevelType w:val="hybridMultilevel"/>
    <w:tmpl w:val="1B3E720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2D4A2B"/>
    <w:multiLevelType w:val="hybridMultilevel"/>
    <w:tmpl w:val="8A58E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C020BE"/>
    <w:multiLevelType w:val="multilevel"/>
    <w:tmpl w:val="BCA20B64"/>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6F3758A"/>
    <w:multiLevelType w:val="multilevel"/>
    <w:tmpl w:val="C9C0796E"/>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77A1AF1"/>
    <w:multiLevelType w:val="multilevel"/>
    <w:tmpl w:val="803278C0"/>
    <w:lvl w:ilvl="0">
      <w:start w:val="6"/>
      <w:numFmt w:val="decimal"/>
      <w:lvlText w:val="%1."/>
      <w:lvlJc w:val="left"/>
      <w:pPr>
        <w:ind w:left="360" w:hanging="360"/>
      </w:pPr>
      <w:rPr>
        <w:rFonts w:hint="default"/>
      </w:rPr>
    </w:lvl>
    <w:lvl w:ilvl="1">
      <w:start w:val="1"/>
      <w:numFmt w:val="decimal"/>
      <w:lvlText w:val="%1.%2."/>
      <w:lvlJc w:val="left"/>
      <w:pPr>
        <w:ind w:left="1106" w:hanging="36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2958" w:hanging="72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4810" w:hanging="108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6662" w:hanging="1440"/>
      </w:pPr>
      <w:rPr>
        <w:rFonts w:hint="default"/>
      </w:rPr>
    </w:lvl>
    <w:lvl w:ilvl="8">
      <w:start w:val="1"/>
      <w:numFmt w:val="decimal"/>
      <w:lvlText w:val="%1.%2.%3.%4.%5.%6.%7.%8.%9."/>
      <w:lvlJc w:val="left"/>
      <w:pPr>
        <w:ind w:left="7768" w:hanging="1800"/>
      </w:pPr>
      <w:rPr>
        <w:rFonts w:hint="default"/>
      </w:rPr>
    </w:lvl>
  </w:abstractNum>
  <w:abstractNum w:abstractNumId="18" w15:restartNumberingAfterBreak="0">
    <w:nsid w:val="29BF3F4C"/>
    <w:multiLevelType w:val="multilevel"/>
    <w:tmpl w:val="8848A280"/>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B8E2BC6"/>
    <w:multiLevelType w:val="multilevel"/>
    <w:tmpl w:val="19D2D30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DBF3E8C"/>
    <w:multiLevelType w:val="hybridMultilevel"/>
    <w:tmpl w:val="7452CD82"/>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ED318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8E77C0"/>
    <w:multiLevelType w:val="hybridMultilevel"/>
    <w:tmpl w:val="63FE8C8E"/>
    <w:lvl w:ilvl="0" w:tplc="04260011">
      <w:start w:val="1"/>
      <w:numFmt w:val="decimal"/>
      <w:lvlText w:val="%1)"/>
      <w:lvlJc w:val="left"/>
      <w:pPr>
        <w:ind w:left="720" w:hanging="360"/>
      </w:pPr>
      <w:rPr>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F4462C"/>
    <w:multiLevelType w:val="hybridMultilevel"/>
    <w:tmpl w:val="B7C207F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C46639"/>
    <w:multiLevelType w:val="hybridMultilevel"/>
    <w:tmpl w:val="BC825DF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28C540A"/>
    <w:multiLevelType w:val="hybridMultilevel"/>
    <w:tmpl w:val="CAA6F5E8"/>
    <w:lvl w:ilvl="0" w:tplc="7AF220B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7849DF"/>
    <w:multiLevelType w:val="hybridMultilevel"/>
    <w:tmpl w:val="45A093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83C0628"/>
    <w:multiLevelType w:val="hybridMultilevel"/>
    <w:tmpl w:val="CE58934C"/>
    <w:lvl w:ilvl="0" w:tplc="04260011">
      <w:start w:val="1"/>
      <w:numFmt w:val="decimal"/>
      <w:lvlText w:val="%1)"/>
      <w:lvlJc w:val="left"/>
      <w:pPr>
        <w:ind w:left="720" w:hanging="360"/>
      </w:pPr>
      <w:rPr>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E005585"/>
    <w:multiLevelType w:val="multilevel"/>
    <w:tmpl w:val="18B65524"/>
    <w:lvl w:ilvl="0">
      <w:start w:val="1"/>
      <w:numFmt w:val="decimal"/>
      <w:lvlText w:val="%1."/>
      <w:lvlJc w:val="left"/>
      <w:pPr>
        <w:ind w:left="720" w:hanging="360"/>
      </w:pPr>
      <w:rPr>
        <w:b w:val="0"/>
        <w:bCs/>
        <w:color w:val="auto"/>
      </w:rPr>
    </w:lvl>
    <w:lvl w:ilvl="1">
      <w:start w:val="1"/>
      <w:numFmt w:val="lowerLetter"/>
      <w:isLgl/>
      <w:lvlText w:val="%2)"/>
      <w:lvlJc w:val="left"/>
      <w:pPr>
        <w:ind w:left="1080" w:hanging="360"/>
      </w:pPr>
      <w:rPr>
        <w:rFonts w:ascii="Times New Roman" w:eastAsiaTheme="minorHAnsi" w:hAnsi="Times New Roman" w:cs="Times New Roman"/>
        <w:i w:val="0"/>
        <w:iCs/>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9" w15:restartNumberingAfterBreak="0">
    <w:nsid w:val="48674B93"/>
    <w:multiLevelType w:val="hybridMultilevel"/>
    <w:tmpl w:val="45A093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0B46AA"/>
    <w:multiLevelType w:val="multilevel"/>
    <w:tmpl w:val="8AD6C53E"/>
    <w:lvl w:ilvl="0">
      <w:start w:val="3"/>
      <w:numFmt w:val="decimal"/>
      <w:lvlText w:val="%1."/>
      <w:lvlJc w:val="left"/>
      <w:pPr>
        <w:ind w:left="360" w:hanging="360"/>
      </w:pPr>
      <w:rPr>
        <w:rFonts w:eastAsiaTheme="minorHAnsi" w:hint="default"/>
        <w:b w:val="0"/>
        <w:bCs/>
      </w:rPr>
    </w:lvl>
    <w:lvl w:ilvl="1">
      <w:start w:val="2"/>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31" w15:restartNumberingAfterBreak="0">
    <w:nsid w:val="4BD72B16"/>
    <w:multiLevelType w:val="multilevel"/>
    <w:tmpl w:val="3B163E12"/>
    <w:lvl w:ilvl="0">
      <w:start w:val="1"/>
      <w:numFmt w:val="decimal"/>
      <w:lvlText w:val="%1."/>
      <w:lvlJc w:val="left"/>
      <w:pPr>
        <w:ind w:left="720" w:hanging="360"/>
      </w:pPr>
      <w:rPr>
        <w:b w:val="0"/>
        <w:bCs/>
        <w:color w:val="auto"/>
      </w:rPr>
    </w:lvl>
    <w:lvl w:ilvl="1">
      <w:start w:val="1"/>
      <w:numFmt w:val="lowerLetter"/>
      <w:lvlText w:val="%2)"/>
      <w:lvlJc w:val="left"/>
      <w:pPr>
        <w:ind w:left="1080" w:hanging="360"/>
      </w:pPr>
      <w:rPr>
        <w:i w:val="0"/>
        <w:iCs/>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32" w15:restartNumberingAfterBreak="0">
    <w:nsid w:val="4FC0444C"/>
    <w:multiLevelType w:val="multilevel"/>
    <w:tmpl w:val="90E89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8B38A1"/>
    <w:multiLevelType w:val="hybridMultilevel"/>
    <w:tmpl w:val="E8E06750"/>
    <w:lvl w:ilvl="0" w:tplc="1B920BC6">
      <w:start w:val="1"/>
      <w:numFmt w:val="decimal"/>
      <w:lvlText w:val="%1."/>
      <w:lvlJc w:val="left"/>
      <w:pPr>
        <w:ind w:left="720" w:hanging="360"/>
      </w:pPr>
      <w:rPr>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1CC58A7"/>
    <w:multiLevelType w:val="multilevel"/>
    <w:tmpl w:val="BEB841A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15:restartNumberingAfterBreak="0">
    <w:nsid w:val="533F4E32"/>
    <w:multiLevelType w:val="hybridMultilevel"/>
    <w:tmpl w:val="594C1D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7052077"/>
    <w:multiLevelType w:val="multilevel"/>
    <w:tmpl w:val="803278C0"/>
    <w:lvl w:ilvl="0">
      <w:start w:val="6"/>
      <w:numFmt w:val="decimal"/>
      <w:lvlText w:val="%1."/>
      <w:lvlJc w:val="left"/>
      <w:pPr>
        <w:ind w:left="360" w:hanging="360"/>
      </w:pPr>
      <w:rPr>
        <w:rFonts w:hint="default"/>
      </w:rPr>
    </w:lvl>
    <w:lvl w:ilvl="1">
      <w:start w:val="1"/>
      <w:numFmt w:val="decimal"/>
      <w:lvlText w:val="%1.%2."/>
      <w:lvlJc w:val="left"/>
      <w:pPr>
        <w:ind w:left="1106" w:hanging="360"/>
      </w:pPr>
      <w:rPr>
        <w:rFonts w:hint="default"/>
      </w:rPr>
    </w:lvl>
    <w:lvl w:ilvl="2">
      <w:start w:val="1"/>
      <w:numFmt w:val="decimal"/>
      <w:lvlText w:val="%1.%2.%3."/>
      <w:lvlJc w:val="left"/>
      <w:pPr>
        <w:ind w:left="2212" w:hanging="720"/>
      </w:pPr>
      <w:rPr>
        <w:rFonts w:hint="default"/>
      </w:rPr>
    </w:lvl>
    <w:lvl w:ilvl="3">
      <w:start w:val="1"/>
      <w:numFmt w:val="decimal"/>
      <w:lvlText w:val="%1.%2.%3.%4."/>
      <w:lvlJc w:val="left"/>
      <w:pPr>
        <w:ind w:left="2958" w:hanging="720"/>
      </w:pPr>
      <w:rPr>
        <w:rFonts w:hint="default"/>
      </w:rPr>
    </w:lvl>
    <w:lvl w:ilvl="4">
      <w:start w:val="1"/>
      <w:numFmt w:val="decimal"/>
      <w:lvlText w:val="%1.%2.%3.%4.%5."/>
      <w:lvlJc w:val="left"/>
      <w:pPr>
        <w:ind w:left="4064" w:hanging="1080"/>
      </w:pPr>
      <w:rPr>
        <w:rFonts w:hint="default"/>
      </w:rPr>
    </w:lvl>
    <w:lvl w:ilvl="5">
      <w:start w:val="1"/>
      <w:numFmt w:val="decimal"/>
      <w:lvlText w:val="%1.%2.%3.%4.%5.%6."/>
      <w:lvlJc w:val="left"/>
      <w:pPr>
        <w:ind w:left="4810" w:hanging="1080"/>
      </w:pPr>
      <w:rPr>
        <w:rFonts w:hint="default"/>
      </w:rPr>
    </w:lvl>
    <w:lvl w:ilvl="6">
      <w:start w:val="1"/>
      <w:numFmt w:val="decimal"/>
      <w:lvlText w:val="%1.%2.%3.%4.%5.%6.%7."/>
      <w:lvlJc w:val="left"/>
      <w:pPr>
        <w:ind w:left="5916" w:hanging="1440"/>
      </w:pPr>
      <w:rPr>
        <w:rFonts w:hint="default"/>
      </w:rPr>
    </w:lvl>
    <w:lvl w:ilvl="7">
      <w:start w:val="1"/>
      <w:numFmt w:val="decimal"/>
      <w:lvlText w:val="%1.%2.%3.%4.%5.%6.%7.%8."/>
      <w:lvlJc w:val="left"/>
      <w:pPr>
        <w:ind w:left="6662" w:hanging="1440"/>
      </w:pPr>
      <w:rPr>
        <w:rFonts w:hint="default"/>
      </w:rPr>
    </w:lvl>
    <w:lvl w:ilvl="8">
      <w:start w:val="1"/>
      <w:numFmt w:val="decimal"/>
      <w:lvlText w:val="%1.%2.%3.%4.%5.%6.%7.%8.%9."/>
      <w:lvlJc w:val="left"/>
      <w:pPr>
        <w:ind w:left="7768" w:hanging="1800"/>
      </w:pPr>
      <w:rPr>
        <w:rFonts w:hint="default"/>
      </w:rPr>
    </w:lvl>
  </w:abstractNum>
  <w:abstractNum w:abstractNumId="37" w15:restartNumberingAfterBreak="0">
    <w:nsid w:val="589F0962"/>
    <w:multiLevelType w:val="hybridMultilevel"/>
    <w:tmpl w:val="45A093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C40621"/>
    <w:multiLevelType w:val="multilevel"/>
    <w:tmpl w:val="DC6A91F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15:restartNumberingAfterBreak="0">
    <w:nsid w:val="5E4725A8"/>
    <w:multiLevelType w:val="hybridMultilevel"/>
    <w:tmpl w:val="E8E06750"/>
    <w:lvl w:ilvl="0" w:tplc="FFFFFFFF">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814F9D"/>
    <w:multiLevelType w:val="multilevel"/>
    <w:tmpl w:val="22FA5D86"/>
    <w:lvl w:ilvl="0">
      <w:start w:val="1"/>
      <w:numFmt w:val="decimal"/>
      <w:lvlText w:val="%1."/>
      <w:lvlJc w:val="left"/>
      <w:pPr>
        <w:ind w:left="720" w:hanging="360"/>
      </w:pPr>
      <w:rPr>
        <w:b w:val="0"/>
        <w:bCs/>
        <w:color w:val="auto"/>
      </w:rPr>
    </w:lvl>
    <w:lvl w:ilvl="1">
      <w:start w:val="1"/>
      <w:numFmt w:val="lowerLetter"/>
      <w:lvlText w:val="%2)"/>
      <w:lvlJc w:val="left"/>
      <w:pPr>
        <w:ind w:left="1080" w:hanging="360"/>
      </w:pPr>
      <w:rPr>
        <w:i w:val="0"/>
        <w:iCs/>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41" w15:restartNumberingAfterBreak="0">
    <w:nsid w:val="666A2FC2"/>
    <w:multiLevelType w:val="hybridMultilevel"/>
    <w:tmpl w:val="741CE920"/>
    <w:lvl w:ilvl="0" w:tplc="83E21284">
      <w:start w:val="1"/>
      <w:numFmt w:val="decimal"/>
      <w:pStyle w:val="Para"/>
      <w:lvlText w:val="%1."/>
      <w:lvlJc w:val="left"/>
      <w:pPr>
        <w:ind w:left="928" w:hanging="360"/>
      </w:pPr>
      <w:rPr>
        <w:rFonts w:ascii="Times New Roman" w:hAnsi="Times New Roman" w:hint="default"/>
        <w:b w:val="0"/>
        <w:i w:val="0"/>
        <w:color w:val="auto"/>
        <w:sz w:val="24"/>
      </w:rPr>
    </w:lvl>
    <w:lvl w:ilvl="1" w:tplc="04260001">
      <w:start w:val="1"/>
      <w:numFmt w:val="bullet"/>
      <w:lvlText w:val=""/>
      <w:lvlJc w:val="left"/>
      <w:pPr>
        <w:ind w:left="1758" w:hanging="360"/>
      </w:pPr>
      <w:rPr>
        <w:rFonts w:ascii="Symbol" w:hAnsi="Symbol" w:hint="default"/>
      </w:rPr>
    </w:lvl>
    <w:lvl w:ilvl="2" w:tplc="0426001B">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42" w15:restartNumberingAfterBreak="0">
    <w:nsid w:val="671610B7"/>
    <w:multiLevelType w:val="hybridMultilevel"/>
    <w:tmpl w:val="76621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F62476"/>
    <w:multiLevelType w:val="hybridMultilevel"/>
    <w:tmpl w:val="0038A8CE"/>
    <w:lvl w:ilvl="0" w:tplc="1B920BC6">
      <w:start w:val="1"/>
      <w:numFmt w:val="decimal"/>
      <w:lvlText w:val="%1."/>
      <w:lvlJc w:val="left"/>
      <w:pPr>
        <w:ind w:left="1429" w:hanging="360"/>
      </w:pPr>
      <w:rPr>
        <w:b w:val="0"/>
        <w:bCs/>
        <w:color w:val="auto"/>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4" w15:restartNumberingAfterBreak="0">
    <w:nsid w:val="6CB63E53"/>
    <w:multiLevelType w:val="multilevel"/>
    <w:tmpl w:val="89B8F0F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5" w15:restartNumberingAfterBreak="0">
    <w:nsid w:val="732407CE"/>
    <w:multiLevelType w:val="multilevel"/>
    <w:tmpl w:val="4EEE6A8A"/>
    <w:lvl w:ilvl="0">
      <w:start w:val="1"/>
      <w:numFmt w:val="decimal"/>
      <w:lvlText w:val="%1."/>
      <w:lvlJc w:val="left"/>
      <w:pPr>
        <w:ind w:left="928"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16cid:durableId="724258465">
    <w:abstractNumId w:val="45"/>
  </w:num>
  <w:num w:numId="2" w16cid:durableId="2117407179">
    <w:abstractNumId w:val="10"/>
  </w:num>
  <w:num w:numId="3" w16cid:durableId="206988532">
    <w:abstractNumId w:val="38"/>
  </w:num>
  <w:num w:numId="4" w16cid:durableId="1646885830">
    <w:abstractNumId w:val="26"/>
  </w:num>
  <w:num w:numId="5" w16cid:durableId="1325082180">
    <w:abstractNumId w:val="1"/>
  </w:num>
  <w:num w:numId="6" w16cid:durableId="200749057">
    <w:abstractNumId w:val="34"/>
  </w:num>
  <w:num w:numId="7" w16cid:durableId="1343631140">
    <w:abstractNumId w:val="19"/>
  </w:num>
  <w:num w:numId="8" w16cid:durableId="1608661023">
    <w:abstractNumId w:val="32"/>
  </w:num>
  <w:num w:numId="9" w16cid:durableId="531067783">
    <w:abstractNumId w:val="15"/>
  </w:num>
  <w:num w:numId="10" w16cid:durableId="1295285999">
    <w:abstractNumId w:val="16"/>
  </w:num>
  <w:num w:numId="11" w16cid:durableId="1307510141">
    <w:abstractNumId w:val="0"/>
  </w:num>
  <w:num w:numId="12" w16cid:durableId="619262739">
    <w:abstractNumId w:val="41"/>
  </w:num>
  <w:num w:numId="13" w16cid:durableId="209266211">
    <w:abstractNumId w:val="6"/>
  </w:num>
  <w:num w:numId="14" w16cid:durableId="730663619">
    <w:abstractNumId w:val="37"/>
  </w:num>
  <w:num w:numId="15" w16cid:durableId="426466274">
    <w:abstractNumId w:val="29"/>
  </w:num>
  <w:num w:numId="16" w16cid:durableId="1215846916">
    <w:abstractNumId w:val="11"/>
  </w:num>
  <w:num w:numId="17" w16cid:durableId="362830766">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142076">
    <w:abstractNumId w:val="18"/>
  </w:num>
  <w:num w:numId="19" w16cid:durableId="1935477459">
    <w:abstractNumId w:val="21"/>
  </w:num>
  <w:num w:numId="20" w16cid:durableId="122315963">
    <w:abstractNumId w:val="12"/>
  </w:num>
  <w:num w:numId="21" w16cid:durableId="1244293572">
    <w:abstractNumId w:val="24"/>
  </w:num>
  <w:num w:numId="22" w16cid:durableId="196700967">
    <w:abstractNumId w:val="35"/>
  </w:num>
  <w:num w:numId="23" w16cid:durableId="1279532751">
    <w:abstractNumId w:val="2"/>
  </w:num>
  <w:num w:numId="24" w16cid:durableId="390738342">
    <w:abstractNumId w:val="33"/>
  </w:num>
  <w:num w:numId="25" w16cid:durableId="299917706">
    <w:abstractNumId w:val="42"/>
  </w:num>
  <w:num w:numId="26" w16cid:durableId="499388728">
    <w:abstractNumId w:val="14"/>
  </w:num>
  <w:num w:numId="27" w16cid:durableId="999041293">
    <w:abstractNumId w:val="43"/>
  </w:num>
  <w:num w:numId="28" w16cid:durableId="317194334">
    <w:abstractNumId w:val="28"/>
  </w:num>
  <w:num w:numId="29" w16cid:durableId="1018583318">
    <w:abstractNumId w:val="30"/>
  </w:num>
  <w:num w:numId="30" w16cid:durableId="1285650245">
    <w:abstractNumId w:val="8"/>
  </w:num>
  <w:num w:numId="31" w16cid:durableId="272132039">
    <w:abstractNumId w:val="17"/>
  </w:num>
  <w:num w:numId="32" w16cid:durableId="1627541129">
    <w:abstractNumId w:val="36"/>
  </w:num>
  <w:num w:numId="33" w16cid:durableId="1801146881">
    <w:abstractNumId w:val="4"/>
  </w:num>
  <w:num w:numId="34" w16cid:durableId="1582791099">
    <w:abstractNumId w:val="22"/>
  </w:num>
  <w:num w:numId="35" w16cid:durableId="685903326">
    <w:abstractNumId w:val="27"/>
  </w:num>
  <w:num w:numId="36" w16cid:durableId="1428648969">
    <w:abstractNumId w:val="31"/>
  </w:num>
  <w:num w:numId="37" w16cid:durableId="466241847">
    <w:abstractNumId w:val="40"/>
  </w:num>
  <w:num w:numId="38" w16cid:durableId="1543901553">
    <w:abstractNumId w:val="13"/>
  </w:num>
  <w:num w:numId="39" w16cid:durableId="937323861">
    <w:abstractNumId w:val="23"/>
  </w:num>
  <w:num w:numId="40" w16cid:durableId="2145272755">
    <w:abstractNumId w:val="39"/>
  </w:num>
  <w:num w:numId="41" w16cid:durableId="921059714">
    <w:abstractNumId w:val="5"/>
  </w:num>
  <w:num w:numId="42" w16cid:durableId="2071078915">
    <w:abstractNumId w:val="25"/>
  </w:num>
  <w:num w:numId="43" w16cid:durableId="1250575238">
    <w:abstractNumId w:val="9"/>
  </w:num>
  <w:num w:numId="44" w16cid:durableId="311759399">
    <w:abstractNumId w:val="7"/>
  </w:num>
  <w:num w:numId="45" w16cid:durableId="1434856103">
    <w:abstractNumId w:val="3"/>
  </w:num>
  <w:num w:numId="46" w16cid:durableId="5241712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280"/>
    <w:rsid w:val="00000264"/>
    <w:rsid w:val="00000952"/>
    <w:rsid w:val="00004B19"/>
    <w:rsid w:val="00012721"/>
    <w:rsid w:val="00012F08"/>
    <w:rsid w:val="00014425"/>
    <w:rsid w:val="00020003"/>
    <w:rsid w:val="00020B8C"/>
    <w:rsid w:val="000228CC"/>
    <w:rsid w:val="00023F1A"/>
    <w:rsid w:val="000247C4"/>
    <w:rsid w:val="00030272"/>
    <w:rsid w:val="000305B6"/>
    <w:rsid w:val="0003731B"/>
    <w:rsid w:val="00037516"/>
    <w:rsid w:val="0004079B"/>
    <w:rsid w:val="00041792"/>
    <w:rsid w:val="00043E20"/>
    <w:rsid w:val="000442DA"/>
    <w:rsid w:val="00044473"/>
    <w:rsid w:val="00045B1B"/>
    <w:rsid w:val="000504F5"/>
    <w:rsid w:val="000506A7"/>
    <w:rsid w:val="00051E8E"/>
    <w:rsid w:val="00052B18"/>
    <w:rsid w:val="00054852"/>
    <w:rsid w:val="00061DEA"/>
    <w:rsid w:val="0006210F"/>
    <w:rsid w:val="00063376"/>
    <w:rsid w:val="000650DE"/>
    <w:rsid w:val="00065185"/>
    <w:rsid w:val="00067E96"/>
    <w:rsid w:val="00071502"/>
    <w:rsid w:val="00071E4D"/>
    <w:rsid w:val="000739C7"/>
    <w:rsid w:val="00074516"/>
    <w:rsid w:val="00077364"/>
    <w:rsid w:val="00082FAA"/>
    <w:rsid w:val="00083C2B"/>
    <w:rsid w:val="00091421"/>
    <w:rsid w:val="00092827"/>
    <w:rsid w:val="00092A49"/>
    <w:rsid w:val="00094035"/>
    <w:rsid w:val="00096C2C"/>
    <w:rsid w:val="0009705C"/>
    <w:rsid w:val="000976C4"/>
    <w:rsid w:val="000A0933"/>
    <w:rsid w:val="000A1E49"/>
    <w:rsid w:val="000A2C3B"/>
    <w:rsid w:val="000A693F"/>
    <w:rsid w:val="000B4EB1"/>
    <w:rsid w:val="000B585B"/>
    <w:rsid w:val="000C0045"/>
    <w:rsid w:val="000C1E81"/>
    <w:rsid w:val="000C2648"/>
    <w:rsid w:val="000C2797"/>
    <w:rsid w:val="000C2A98"/>
    <w:rsid w:val="000C4BF9"/>
    <w:rsid w:val="000C4BFE"/>
    <w:rsid w:val="000C74C1"/>
    <w:rsid w:val="000D3357"/>
    <w:rsid w:val="000D61BF"/>
    <w:rsid w:val="000D67F7"/>
    <w:rsid w:val="000D6ABB"/>
    <w:rsid w:val="000D6AE6"/>
    <w:rsid w:val="000E050F"/>
    <w:rsid w:val="000E10CC"/>
    <w:rsid w:val="000E2964"/>
    <w:rsid w:val="000E2D01"/>
    <w:rsid w:val="000E44C0"/>
    <w:rsid w:val="000E6717"/>
    <w:rsid w:val="000E7A71"/>
    <w:rsid w:val="000F2722"/>
    <w:rsid w:val="000F3E58"/>
    <w:rsid w:val="000F5B92"/>
    <w:rsid w:val="0010032F"/>
    <w:rsid w:val="00100E45"/>
    <w:rsid w:val="00101B22"/>
    <w:rsid w:val="00103F68"/>
    <w:rsid w:val="001049DB"/>
    <w:rsid w:val="001107EC"/>
    <w:rsid w:val="001164A6"/>
    <w:rsid w:val="00120171"/>
    <w:rsid w:val="00121EAB"/>
    <w:rsid w:val="00124A32"/>
    <w:rsid w:val="001255AB"/>
    <w:rsid w:val="00125ED6"/>
    <w:rsid w:val="00127857"/>
    <w:rsid w:val="001376C2"/>
    <w:rsid w:val="00137A44"/>
    <w:rsid w:val="00137C19"/>
    <w:rsid w:val="001440EC"/>
    <w:rsid w:val="00146538"/>
    <w:rsid w:val="0015264B"/>
    <w:rsid w:val="001542DF"/>
    <w:rsid w:val="001551F4"/>
    <w:rsid w:val="001559B2"/>
    <w:rsid w:val="00157042"/>
    <w:rsid w:val="0015750B"/>
    <w:rsid w:val="00163B7F"/>
    <w:rsid w:val="001662E2"/>
    <w:rsid w:val="001663D4"/>
    <w:rsid w:val="00174D9B"/>
    <w:rsid w:val="00176056"/>
    <w:rsid w:val="0017747E"/>
    <w:rsid w:val="001807BB"/>
    <w:rsid w:val="001823B2"/>
    <w:rsid w:val="00182EFA"/>
    <w:rsid w:val="001831BE"/>
    <w:rsid w:val="00191346"/>
    <w:rsid w:val="00191ABE"/>
    <w:rsid w:val="00192E0A"/>
    <w:rsid w:val="00193D74"/>
    <w:rsid w:val="00193F51"/>
    <w:rsid w:val="00194435"/>
    <w:rsid w:val="00196E36"/>
    <w:rsid w:val="001A157C"/>
    <w:rsid w:val="001A1D64"/>
    <w:rsid w:val="001A34F1"/>
    <w:rsid w:val="001A61FA"/>
    <w:rsid w:val="001B1668"/>
    <w:rsid w:val="001B6182"/>
    <w:rsid w:val="001C5379"/>
    <w:rsid w:val="001D0CDE"/>
    <w:rsid w:val="001D22D3"/>
    <w:rsid w:val="001D2784"/>
    <w:rsid w:val="001D368E"/>
    <w:rsid w:val="001D38EB"/>
    <w:rsid w:val="001D3ED3"/>
    <w:rsid w:val="001D5828"/>
    <w:rsid w:val="001E5E41"/>
    <w:rsid w:val="001E6A86"/>
    <w:rsid w:val="001E6C02"/>
    <w:rsid w:val="001F2947"/>
    <w:rsid w:val="002002B7"/>
    <w:rsid w:val="0020134F"/>
    <w:rsid w:val="002046CA"/>
    <w:rsid w:val="00205CDE"/>
    <w:rsid w:val="00205D3D"/>
    <w:rsid w:val="002074B6"/>
    <w:rsid w:val="00212AD0"/>
    <w:rsid w:val="0021382F"/>
    <w:rsid w:val="0021494D"/>
    <w:rsid w:val="002213C1"/>
    <w:rsid w:val="0022153A"/>
    <w:rsid w:val="002224D6"/>
    <w:rsid w:val="00224F5F"/>
    <w:rsid w:val="00225C04"/>
    <w:rsid w:val="00227AF8"/>
    <w:rsid w:val="002304F2"/>
    <w:rsid w:val="00230D80"/>
    <w:rsid w:val="00234B0A"/>
    <w:rsid w:val="00235A4A"/>
    <w:rsid w:val="002406BD"/>
    <w:rsid w:val="00240CC4"/>
    <w:rsid w:val="002467EE"/>
    <w:rsid w:val="00255F9B"/>
    <w:rsid w:val="00256311"/>
    <w:rsid w:val="00256A08"/>
    <w:rsid w:val="002573D5"/>
    <w:rsid w:val="00260E4D"/>
    <w:rsid w:val="00261301"/>
    <w:rsid w:val="002629B7"/>
    <w:rsid w:val="00266443"/>
    <w:rsid w:val="0027244B"/>
    <w:rsid w:val="00275251"/>
    <w:rsid w:val="00276FF6"/>
    <w:rsid w:val="002804B7"/>
    <w:rsid w:val="00281110"/>
    <w:rsid w:val="00281977"/>
    <w:rsid w:val="00281A61"/>
    <w:rsid w:val="002839BE"/>
    <w:rsid w:val="00284280"/>
    <w:rsid w:val="0029126A"/>
    <w:rsid w:val="00291823"/>
    <w:rsid w:val="0029205B"/>
    <w:rsid w:val="002920F9"/>
    <w:rsid w:val="002937DF"/>
    <w:rsid w:val="0029583D"/>
    <w:rsid w:val="00297407"/>
    <w:rsid w:val="00297CC1"/>
    <w:rsid w:val="002A011B"/>
    <w:rsid w:val="002A3BBE"/>
    <w:rsid w:val="002A5C26"/>
    <w:rsid w:val="002A6A38"/>
    <w:rsid w:val="002B10A8"/>
    <w:rsid w:val="002B16E5"/>
    <w:rsid w:val="002B356F"/>
    <w:rsid w:val="002B581E"/>
    <w:rsid w:val="002B5836"/>
    <w:rsid w:val="002B596F"/>
    <w:rsid w:val="002B5DBA"/>
    <w:rsid w:val="002C20CE"/>
    <w:rsid w:val="002C4C8C"/>
    <w:rsid w:val="002C7959"/>
    <w:rsid w:val="002D467E"/>
    <w:rsid w:val="002E00FE"/>
    <w:rsid w:val="002E6FC1"/>
    <w:rsid w:val="002E7F16"/>
    <w:rsid w:val="002F003A"/>
    <w:rsid w:val="002F0A8A"/>
    <w:rsid w:val="002F1AD0"/>
    <w:rsid w:val="002F434B"/>
    <w:rsid w:val="003016AB"/>
    <w:rsid w:val="00307FEF"/>
    <w:rsid w:val="0031420B"/>
    <w:rsid w:val="003163BB"/>
    <w:rsid w:val="0032486C"/>
    <w:rsid w:val="0032506D"/>
    <w:rsid w:val="00326838"/>
    <w:rsid w:val="00334654"/>
    <w:rsid w:val="00337751"/>
    <w:rsid w:val="003378FD"/>
    <w:rsid w:val="0034052B"/>
    <w:rsid w:val="00341257"/>
    <w:rsid w:val="0034562D"/>
    <w:rsid w:val="00353150"/>
    <w:rsid w:val="00353A4D"/>
    <w:rsid w:val="00355D9B"/>
    <w:rsid w:val="00356A2B"/>
    <w:rsid w:val="003602AF"/>
    <w:rsid w:val="003605AB"/>
    <w:rsid w:val="003611A4"/>
    <w:rsid w:val="003655B3"/>
    <w:rsid w:val="0036581E"/>
    <w:rsid w:val="00365DAE"/>
    <w:rsid w:val="00366028"/>
    <w:rsid w:val="00370C60"/>
    <w:rsid w:val="003710A2"/>
    <w:rsid w:val="003712F7"/>
    <w:rsid w:val="0037271C"/>
    <w:rsid w:val="00372FFA"/>
    <w:rsid w:val="003749AA"/>
    <w:rsid w:val="003802CC"/>
    <w:rsid w:val="003817EE"/>
    <w:rsid w:val="003840FD"/>
    <w:rsid w:val="00384273"/>
    <w:rsid w:val="00392FC2"/>
    <w:rsid w:val="00394085"/>
    <w:rsid w:val="00394D2E"/>
    <w:rsid w:val="003A03E0"/>
    <w:rsid w:val="003A1320"/>
    <w:rsid w:val="003A2F29"/>
    <w:rsid w:val="003B36BD"/>
    <w:rsid w:val="003B6497"/>
    <w:rsid w:val="003C004A"/>
    <w:rsid w:val="003C0C84"/>
    <w:rsid w:val="003C395F"/>
    <w:rsid w:val="003C577A"/>
    <w:rsid w:val="003D0E9E"/>
    <w:rsid w:val="003D1465"/>
    <w:rsid w:val="003D2559"/>
    <w:rsid w:val="003D274D"/>
    <w:rsid w:val="003D2E4B"/>
    <w:rsid w:val="003D2E88"/>
    <w:rsid w:val="003D3F43"/>
    <w:rsid w:val="003D5C1D"/>
    <w:rsid w:val="003D7BA6"/>
    <w:rsid w:val="003D7FE4"/>
    <w:rsid w:val="003E010E"/>
    <w:rsid w:val="003E044E"/>
    <w:rsid w:val="003E127B"/>
    <w:rsid w:val="003E222D"/>
    <w:rsid w:val="003E333A"/>
    <w:rsid w:val="003E768C"/>
    <w:rsid w:val="003E7D47"/>
    <w:rsid w:val="003F03D2"/>
    <w:rsid w:val="003F3B25"/>
    <w:rsid w:val="003F4499"/>
    <w:rsid w:val="003F72E3"/>
    <w:rsid w:val="004001DC"/>
    <w:rsid w:val="00407835"/>
    <w:rsid w:val="00412F23"/>
    <w:rsid w:val="00416A2B"/>
    <w:rsid w:val="004213A1"/>
    <w:rsid w:val="00422892"/>
    <w:rsid w:val="00422B97"/>
    <w:rsid w:val="00424F5D"/>
    <w:rsid w:val="00426F79"/>
    <w:rsid w:val="00427342"/>
    <w:rsid w:val="00427E32"/>
    <w:rsid w:val="004345AC"/>
    <w:rsid w:val="0043564E"/>
    <w:rsid w:val="00440070"/>
    <w:rsid w:val="00440B06"/>
    <w:rsid w:val="00441092"/>
    <w:rsid w:val="00441C7C"/>
    <w:rsid w:val="00441E70"/>
    <w:rsid w:val="00441EDE"/>
    <w:rsid w:val="00442B17"/>
    <w:rsid w:val="00444F5C"/>
    <w:rsid w:val="004526DA"/>
    <w:rsid w:val="00452813"/>
    <w:rsid w:val="00453625"/>
    <w:rsid w:val="0045428D"/>
    <w:rsid w:val="00454D8F"/>
    <w:rsid w:val="0045575B"/>
    <w:rsid w:val="00460F30"/>
    <w:rsid w:val="0046245E"/>
    <w:rsid w:val="0047139D"/>
    <w:rsid w:val="00471C0F"/>
    <w:rsid w:val="00471D68"/>
    <w:rsid w:val="004722E7"/>
    <w:rsid w:val="004727E1"/>
    <w:rsid w:val="00473DED"/>
    <w:rsid w:val="00474B93"/>
    <w:rsid w:val="004802A2"/>
    <w:rsid w:val="00480A99"/>
    <w:rsid w:val="0048136C"/>
    <w:rsid w:val="00484EFA"/>
    <w:rsid w:val="00486F8C"/>
    <w:rsid w:val="00491177"/>
    <w:rsid w:val="00493281"/>
    <w:rsid w:val="004932AE"/>
    <w:rsid w:val="00493B27"/>
    <w:rsid w:val="00496CF6"/>
    <w:rsid w:val="004973C9"/>
    <w:rsid w:val="00497630"/>
    <w:rsid w:val="004A1A8C"/>
    <w:rsid w:val="004A56D4"/>
    <w:rsid w:val="004A60C1"/>
    <w:rsid w:val="004B332A"/>
    <w:rsid w:val="004B5984"/>
    <w:rsid w:val="004B609A"/>
    <w:rsid w:val="004B6E11"/>
    <w:rsid w:val="004C13B0"/>
    <w:rsid w:val="004C5E28"/>
    <w:rsid w:val="004C6AB8"/>
    <w:rsid w:val="004D62EC"/>
    <w:rsid w:val="004D6F4F"/>
    <w:rsid w:val="004D7F74"/>
    <w:rsid w:val="004E0791"/>
    <w:rsid w:val="004E3AF7"/>
    <w:rsid w:val="004E55D2"/>
    <w:rsid w:val="004E7105"/>
    <w:rsid w:val="004E7113"/>
    <w:rsid w:val="004F096D"/>
    <w:rsid w:val="004F213F"/>
    <w:rsid w:val="004F4971"/>
    <w:rsid w:val="004F4AC9"/>
    <w:rsid w:val="004F611C"/>
    <w:rsid w:val="004F6138"/>
    <w:rsid w:val="004F684E"/>
    <w:rsid w:val="004F7CF2"/>
    <w:rsid w:val="0050230E"/>
    <w:rsid w:val="00502367"/>
    <w:rsid w:val="00503848"/>
    <w:rsid w:val="00504D0B"/>
    <w:rsid w:val="005052B2"/>
    <w:rsid w:val="00506372"/>
    <w:rsid w:val="00506493"/>
    <w:rsid w:val="00507E5C"/>
    <w:rsid w:val="00510180"/>
    <w:rsid w:val="005103D0"/>
    <w:rsid w:val="005116D9"/>
    <w:rsid w:val="005124DE"/>
    <w:rsid w:val="00515291"/>
    <w:rsid w:val="00516581"/>
    <w:rsid w:val="005167BB"/>
    <w:rsid w:val="00516818"/>
    <w:rsid w:val="005177C4"/>
    <w:rsid w:val="0052073C"/>
    <w:rsid w:val="00522391"/>
    <w:rsid w:val="00533479"/>
    <w:rsid w:val="00533BB8"/>
    <w:rsid w:val="005357AE"/>
    <w:rsid w:val="00543229"/>
    <w:rsid w:val="00546870"/>
    <w:rsid w:val="00551C9B"/>
    <w:rsid w:val="00555226"/>
    <w:rsid w:val="005563CD"/>
    <w:rsid w:val="005609F5"/>
    <w:rsid w:val="00560E86"/>
    <w:rsid w:val="00563F95"/>
    <w:rsid w:val="00564D8D"/>
    <w:rsid w:val="00566650"/>
    <w:rsid w:val="005702E0"/>
    <w:rsid w:val="00573FB6"/>
    <w:rsid w:val="00574DF3"/>
    <w:rsid w:val="005836F0"/>
    <w:rsid w:val="00583B89"/>
    <w:rsid w:val="005842B1"/>
    <w:rsid w:val="005843C0"/>
    <w:rsid w:val="00597187"/>
    <w:rsid w:val="00597F87"/>
    <w:rsid w:val="005A2D12"/>
    <w:rsid w:val="005A33F9"/>
    <w:rsid w:val="005A3C6B"/>
    <w:rsid w:val="005A3F88"/>
    <w:rsid w:val="005A4F0E"/>
    <w:rsid w:val="005A73D4"/>
    <w:rsid w:val="005A7D99"/>
    <w:rsid w:val="005B00E3"/>
    <w:rsid w:val="005B0648"/>
    <w:rsid w:val="005B3BBC"/>
    <w:rsid w:val="005B6166"/>
    <w:rsid w:val="005B672F"/>
    <w:rsid w:val="005B760C"/>
    <w:rsid w:val="005C21F8"/>
    <w:rsid w:val="005C2506"/>
    <w:rsid w:val="005C31CA"/>
    <w:rsid w:val="005C3A3E"/>
    <w:rsid w:val="005C4976"/>
    <w:rsid w:val="005C72DC"/>
    <w:rsid w:val="005C7E97"/>
    <w:rsid w:val="005D1DC3"/>
    <w:rsid w:val="005D25DC"/>
    <w:rsid w:val="005D2D6A"/>
    <w:rsid w:val="005D5910"/>
    <w:rsid w:val="005D5F37"/>
    <w:rsid w:val="005D7968"/>
    <w:rsid w:val="005E3547"/>
    <w:rsid w:val="005E5456"/>
    <w:rsid w:val="005E563B"/>
    <w:rsid w:val="005E573B"/>
    <w:rsid w:val="005E7203"/>
    <w:rsid w:val="005E7205"/>
    <w:rsid w:val="005F0114"/>
    <w:rsid w:val="005F10DE"/>
    <w:rsid w:val="005F204F"/>
    <w:rsid w:val="00600975"/>
    <w:rsid w:val="006009E9"/>
    <w:rsid w:val="00602867"/>
    <w:rsid w:val="00602D5C"/>
    <w:rsid w:val="006050DA"/>
    <w:rsid w:val="006124A9"/>
    <w:rsid w:val="006143BC"/>
    <w:rsid w:val="00620857"/>
    <w:rsid w:val="00621BD1"/>
    <w:rsid w:val="00622DF7"/>
    <w:rsid w:val="00624469"/>
    <w:rsid w:val="0062538E"/>
    <w:rsid w:val="00625C8F"/>
    <w:rsid w:val="00626BD7"/>
    <w:rsid w:val="006276E4"/>
    <w:rsid w:val="00630FE8"/>
    <w:rsid w:val="00631EA4"/>
    <w:rsid w:val="006326E1"/>
    <w:rsid w:val="00632AA3"/>
    <w:rsid w:val="00632CD5"/>
    <w:rsid w:val="00634C2F"/>
    <w:rsid w:val="00637235"/>
    <w:rsid w:val="00642BAB"/>
    <w:rsid w:val="00644063"/>
    <w:rsid w:val="006508FD"/>
    <w:rsid w:val="00652643"/>
    <w:rsid w:val="00655023"/>
    <w:rsid w:val="00660AB9"/>
    <w:rsid w:val="00660C54"/>
    <w:rsid w:val="00661436"/>
    <w:rsid w:val="006614E2"/>
    <w:rsid w:val="00665B8C"/>
    <w:rsid w:val="00682C8C"/>
    <w:rsid w:val="006836A6"/>
    <w:rsid w:val="00686A2B"/>
    <w:rsid w:val="00690880"/>
    <w:rsid w:val="00694ECB"/>
    <w:rsid w:val="006A38BA"/>
    <w:rsid w:val="006A3AC3"/>
    <w:rsid w:val="006A4429"/>
    <w:rsid w:val="006B06CA"/>
    <w:rsid w:val="006B4497"/>
    <w:rsid w:val="006C0248"/>
    <w:rsid w:val="006C0AC0"/>
    <w:rsid w:val="006C37A4"/>
    <w:rsid w:val="006C6939"/>
    <w:rsid w:val="006D4B0A"/>
    <w:rsid w:val="006D55A0"/>
    <w:rsid w:val="006D76FB"/>
    <w:rsid w:val="006D7E91"/>
    <w:rsid w:val="006E0CAC"/>
    <w:rsid w:val="006E2B65"/>
    <w:rsid w:val="006E557D"/>
    <w:rsid w:val="006F07D5"/>
    <w:rsid w:val="006F17FC"/>
    <w:rsid w:val="006F25FD"/>
    <w:rsid w:val="0070104F"/>
    <w:rsid w:val="007011E4"/>
    <w:rsid w:val="00703D3E"/>
    <w:rsid w:val="0070488A"/>
    <w:rsid w:val="00710B92"/>
    <w:rsid w:val="007126B9"/>
    <w:rsid w:val="00713CFA"/>
    <w:rsid w:val="00713E5D"/>
    <w:rsid w:val="007154C1"/>
    <w:rsid w:val="00715734"/>
    <w:rsid w:val="00716DD1"/>
    <w:rsid w:val="00720DE1"/>
    <w:rsid w:val="007210D6"/>
    <w:rsid w:val="00722C14"/>
    <w:rsid w:val="00723C3E"/>
    <w:rsid w:val="0072442F"/>
    <w:rsid w:val="0073150B"/>
    <w:rsid w:val="00731F3F"/>
    <w:rsid w:val="007336B3"/>
    <w:rsid w:val="007341B4"/>
    <w:rsid w:val="00742209"/>
    <w:rsid w:val="00742BC4"/>
    <w:rsid w:val="00742CCD"/>
    <w:rsid w:val="00742E26"/>
    <w:rsid w:val="007442A5"/>
    <w:rsid w:val="007503D0"/>
    <w:rsid w:val="00763023"/>
    <w:rsid w:val="0076614D"/>
    <w:rsid w:val="007675DA"/>
    <w:rsid w:val="00770710"/>
    <w:rsid w:val="00770E2A"/>
    <w:rsid w:val="007729D8"/>
    <w:rsid w:val="00772ECD"/>
    <w:rsid w:val="0077620C"/>
    <w:rsid w:val="007776B9"/>
    <w:rsid w:val="007778C2"/>
    <w:rsid w:val="00781B75"/>
    <w:rsid w:val="00786633"/>
    <w:rsid w:val="00791EC6"/>
    <w:rsid w:val="007A31DF"/>
    <w:rsid w:val="007A5CBB"/>
    <w:rsid w:val="007A7112"/>
    <w:rsid w:val="007B067E"/>
    <w:rsid w:val="007B07AF"/>
    <w:rsid w:val="007B13D1"/>
    <w:rsid w:val="007B3330"/>
    <w:rsid w:val="007B52D7"/>
    <w:rsid w:val="007B6A23"/>
    <w:rsid w:val="007B766A"/>
    <w:rsid w:val="007C18E8"/>
    <w:rsid w:val="007C1FEA"/>
    <w:rsid w:val="007D0695"/>
    <w:rsid w:val="007D084A"/>
    <w:rsid w:val="007D1587"/>
    <w:rsid w:val="007E0DA2"/>
    <w:rsid w:val="007E4B63"/>
    <w:rsid w:val="007E6B0C"/>
    <w:rsid w:val="007E782A"/>
    <w:rsid w:val="007F01B4"/>
    <w:rsid w:val="007F29A3"/>
    <w:rsid w:val="007F45EB"/>
    <w:rsid w:val="007F4951"/>
    <w:rsid w:val="007F655B"/>
    <w:rsid w:val="007F6B5F"/>
    <w:rsid w:val="00800031"/>
    <w:rsid w:val="00802A80"/>
    <w:rsid w:val="00802E7A"/>
    <w:rsid w:val="00804343"/>
    <w:rsid w:val="008058C2"/>
    <w:rsid w:val="00805948"/>
    <w:rsid w:val="008059D5"/>
    <w:rsid w:val="00805A08"/>
    <w:rsid w:val="0081149D"/>
    <w:rsid w:val="00812DB0"/>
    <w:rsid w:val="00817FF3"/>
    <w:rsid w:val="00820784"/>
    <w:rsid w:val="00820FF3"/>
    <w:rsid w:val="00821D5B"/>
    <w:rsid w:val="0082328A"/>
    <w:rsid w:val="00823ECD"/>
    <w:rsid w:val="00824946"/>
    <w:rsid w:val="00827749"/>
    <w:rsid w:val="008301E9"/>
    <w:rsid w:val="00831CB5"/>
    <w:rsid w:val="00833432"/>
    <w:rsid w:val="00836A1A"/>
    <w:rsid w:val="008370B2"/>
    <w:rsid w:val="00842586"/>
    <w:rsid w:val="0084392F"/>
    <w:rsid w:val="00844361"/>
    <w:rsid w:val="00846B88"/>
    <w:rsid w:val="00846C68"/>
    <w:rsid w:val="008500DB"/>
    <w:rsid w:val="008503D7"/>
    <w:rsid w:val="00850CBD"/>
    <w:rsid w:val="00850F0E"/>
    <w:rsid w:val="00853009"/>
    <w:rsid w:val="0085413D"/>
    <w:rsid w:val="00854B0D"/>
    <w:rsid w:val="00854C9F"/>
    <w:rsid w:val="0086518B"/>
    <w:rsid w:val="00867C4A"/>
    <w:rsid w:val="00872790"/>
    <w:rsid w:val="00872C00"/>
    <w:rsid w:val="0087716F"/>
    <w:rsid w:val="00877587"/>
    <w:rsid w:val="0088008A"/>
    <w:rsid w:val="00880314"/>
    <w:rsid w:val="00880995"/>
    <w:rsid w:val="008832EC"/>
    <w:rsid w:val="008877DE"/>
    <w:rsid w:val="0089088A"/>
    <w:rsid w:val="0089431A"/>
    <w:rsid w:val="008A2A16"/>
    <w:rsid w:val="008A2AD6"/>
    <w:rsid w:val="008A48EB"/>
    <w:rsid w:val="008B60BD"/>
    <w:rsid w:val="008C0243"/>
    <w:rsid w:val="008C0C98"/>
    <w:rsid w:val="008C212D"/>
    <w:rsid w:val="008C3978"/>
    <w:rsid w:val="008C7A33"/>
    <w:rsid w:val="008C7E41"/>
    <w:rsid w:val="008D102E"/>
    <w:rsid w:val="008D22E3"/>
    <w:rsid w:val="008D27D5"/>
    <w:rsid w:val="008D30D2"/>
    <w:rsid w:val="008D395C"/>
    <w:rsid w:val="008D53B9"/>
    <w:rsid w:val="008D5C4A"/>
    <w:rsid w:val="008D618A"/>
    <w:rsid w:val="008D67BB"/>
    <w:rsid w:val="008D7792"/>
    <w:rsid w:val="008D793B"/>
    <w:rsid w:val="008E00E1"/>
    <w:rsid w:val="008E3052"/>
    <w:rsid w:val="008E38FF"/>
    <w:rsid w:val="008E5872"/>
    <w:rsid w:val="0090017D"/>
    <w:rsid w:val="009028DC"/>
    <w:rsid w:val="00902FD4"/>
    <w:rsid w:val="0090321E"/>
    <w:rsid w:val="00903335"/>
    <w:rsid w:val="00904582"/>
    <w:rsid w:val="009070C7"/>
    <w:rsid w:val="0091485F"/>
    <w:rsid w:val="00920D70"/>
    <w:rsid w:val="00921325"/>
    <w:rsid w:val="00921734"/>
    <w:rsid w:val="00921925"/>
    <w:rsid w:val="00927263"/>
    <w:rsid w:val="009310A0"/>
    <w:rsid w:val="0093325F"/>
    <w:rsid w:val="009332BA"/>
    <w:rsid w:val="00933B34"/>
    <w:rsid w:val="00940BEB"/>
    <w:rsid w:val="00943C24"/>
    <w:rsid w:val="00946A69"/>
    <w:rsid w:val="009505DE"/>
    <w:rsid w:val="00953F88"/>
    <w:rsid w:val="00956DC0"/>
    <w:rsid w:val="00960043"/>
    <w:rsid w:val="00962DD1"/>
    <w:rsid w:val="00963511"/>
    <w:rsid w:val="00963C0A"/>
    <w:rsid w:val="009642BB"/>
    <w:rsid w:val="00964ACA"/>
    <w:rsid w:val="00964AF4"/>
    <w:rsid w:val="009659A7"/>
    <w:rsid w:val="0096727A"/>
    <w:rsid w:val="0096747F"/>
    <w:rsid w:val="00967980"/>
    <w:rsid w:val="009710FB"/>
    <w:rsid w:val="00971123"/>
    <w:rsid w:val="00974AC9"/>
    <w:rsid w:val="00977424"/>
    <w:rsid w:val="0098086A"/>
    <w:rsid w:val="00981BD9"/>
    <w:rsid w:val="00981CCC"/>
    <w:rsid w:val="00983056"/>
    <w:rsid w:val="00984382"/>
    <w:rsid w:val="00984C91"/>
    <w:rsid w:val="00986185"/>
    <w:rsid w:val="0098648B"/>
    <w:rsid w:val="00986D62"/>
    <w:rsid w:val="009952EC"/>
    <w:rsid w:val="009975E3"/>
    <w:rsid w:val="009A039F"/>
    <w:rsid w:val="009A0D6C"/>
    <w:rsid w:val="009A1030"/>
    <w:rsid w:val="009A2BA8"/>
    <w:rsid w:val="009A36DC"/>
    <w:rsid w:val="009A411E"/>
    <w:rsid w:val="009A42C6"/>
    <w:rsid w:val="009A6EC4"/>
    <w:rsid w:val="009B451F"/>
    <w:rsid w:val="009B5985"/>
    <w:rsid w:val="009B73DA"/>
    <w:rsid w:val="009B75F2"/>
    <w:rsid w:val="009B7E1F"/>
    <w:rsid w:val="009C1C13"/>
    <w:rsid w:val="009C537D"/>
    <w:rsid w:val="009C5E90"/>
    <w:rsid w:val="009C7282"/>
    <w:rsid w:val="009C7660"/>
    <w:rsid w:val="009D075E"/>
    <w:rsid w:val="009D2DE7"/>
    <w:rsid w:val="009D2E29"/>
    <w:rsid w:val="009D3D0E"/>
    <w:rsid w:val="009D410F"/>
    <w:rsid w:val="009D4B8C"/>
    <w:rsid w:val="009E4950"/>
    <w:rsid w:val="009E4FE7"/>
    <w:rsid w:val="009E5690"/>
    <w:rsid w:val="009F200F"/>
    <w:rsid w:val="009F5D32"/>
    <w:rsid w:val="009F5F3B"/>
    <w:rsid w:val="009F73C9"/>
    <w:rsid w:val="00A003A9"/>
    <w:rsid w:val="00A020E1"/>
    <w:rsid w:val="00A03C17"/>
    <w:rsid w:val="00A14C46"/>
    <w:rsid w:val="00A162A4"/>
    <w:rsid w:val="00A205A3"/>
    <w:rsid w:val="00A2223D"/>
    <w:rsid w:val="00A2228B"/>
    <w:rsid w:val="00A24A7F"/>
    <w:rsid w:val="00A271B0"/>
    <w:rsid w:val="00A27812"/>
    <w:rsid w:val="00A27C55"/>
    <w:rsid w:val="00A32B0D"/>
    <w:rsid w:val="00A32FE6"/>
    <w:rsid w:val="00A335B5"/>
    <w:rsid w:val="00A3417A"/>
    <w:rsid w:val="00A34683"/>
    <w:rsid w:val="00A36806"/>
    <w:rsid w:val="00A37B35"/>
    <w:rsid w:val="00A42E3C"/>
    <w:rsid w:val="00A44D6B"/>
    <w:rsid w:val="00A51794"/>
    <w:rsid w:val="00A52CAB"/>
    <w:rsid w:val="00A56080"/>
    <w:rsid w:val="00A57380"/>
    <w:rsid w:val="00A60428"/>
    <w:rsid w:val="00A61C83"/>
    <w:rsid w:val="00A6305E"/>
    <w:rsid w:val="00A63F0E"/>
    <w:rsid w:val="00A65965"/>
    <w:rsid w:val="00A65BAF"/>
    <w:rsid w:val="00A67BC7"/>
    <w:rsid w:val="00A70472"/>
    <w:rsid w:val="00A720CB"/>
    <w:rsid w:val="00A72904"/>
    <w:rsid w:val="00A7697F"/>
    <w:rsid w:val="00A777D0"/>
    <w:rsid w:val="00A80235"/>
    <w:rsid w:val="00A80727"/>
    <w:rsid w:val="00A81E9D"/>
    <w:rsid w:val="00A82640"/>
    <w:rsid w:val="00A934A9"/>
    <w:rsid w:val="00A9459C"/>
    <w:rsid w:val="00A95771"/>
    <w:rsid w:val="00A9589D"/>
    <w:rsid w:val="00A95BD0"/>
    <w:rsid w:val="00A970DA"/>
    <w:rsid w:val="00AA0C8E"/>
    <w:rsid w:val="00AA2717"/>
    <w:rsid w:val="00AA2786"/>
    <w:rsid w:val="00AA2A84"/>
    <w:rsid w:val="00AA38CE"/>
    <w:rsid w:val="00AA74B1"/>
    <w:rsid w:val="00AB0549"/>
    <w:rsid w:val="00AB269C"/>
    <w:rsid w:val="00AB26B7"/>
    <w:rsid w:val="00AB27F9"/>
    <w:rsid w:val="00AB2B75"/>
    <w:rsid w:val="00AB531F"/>
    <w:rsid w:val="00AB6371"/>
    <w:rsid w:val="00AC183E"/>
    <w:rsid w:val="00AC18D1"/>
    <w:rsid w:val="00AC205E"/>
    <w:rsid w:val="00AC4BCA"/>
    <w:rsid w:val="00AD29B6"/>
    <w:rsid w:val="00AD4621"/>
    <w:rsid w:val="00AD580A"/>
    <w:rsid w:val="00AD5CDE"/>
    <w:rsid w:val="00AD6DC3"/>
    <w:rsid w:val="00AD7FB1"/>
    <w:rsid w:val="00AE44FA"/>
    <w:rsid w:val="00AE53BD"/>
    <w:rsid w:val="00AF258D"/>
    <w:rsid w:val="00AF3939"/>
    <w:rsid w:val="00B00AF8"/>
    <w:rsid w:val="00B06B7C"/>
    <w:rsid w:val="00B1011D"/>
    <w:rsid w:val="00B107B2"/>
    <w:rsid w:val="00B13845"/>
    <w:rsid w:val="00B139B6"/>
    <w:rsid w:val="00B14EDB"/>
    <w:rsid w:val="00B16F38"/>
    <w:rsid w:val="00B2288C"/>
    <w:rsid w:val="00B23A5D"/>
    <w:rsid w:val="00B24F25"/>
    <w:rsid w:val="00B27979"/>
    <w:rsid w:val="00B27EE0"/>
    <w:rsid w:val="00B313B6"/>
    <w:rsid w:val="00B32EBE"/>
    <w:rsid w:val="00B331D3"/>
    <w:rsid w:val="00B3603E"/>
    <w:rsid w:val="00B3631A"/>
    <w:rsid w:val="00B3704C"/>
    <w:rsid w:val="00B37180"/>
    <w:rsid w:val="00B44715"/>
    <w:rsid w:val="00B452A8"/>
    <w:rsid w:val="00B505AF"/>
    <w:rsid w:val="00B52B00"/>
    <w:rsid w:val="00B52D5B"/>
    <w:rsid w:val="00B53E96"/>
    <w:rsid w:val="00B631E6"/>
    <w:rsid w:val="00B6401F"/>
    <w:rsid w:val="00B673AA"/>
    <w:rsid w:val="00B70A71"/>
    <w:rsid w:val="00B8244A"/>
    <w:rsid w:val="00B83826"/>
    <w:rsid w:val="00B85172"/>
    <w:rsid w:val="00B86BA5"/>
    <w:rsid w:val="00B9269A"/>
    <w:rsid w:val="00B94D14"/>
    <w:rsid w:val="00B9523B"/>
    <w:rsid w:val="00BA0DAB"/>
    <w:rsid w:val="00BA11FC"/>
    <w:rsid w:val="00BA1565"/>
    <w:rsid w:val="00BA17E8"/>
    <w:rsid w:val="00BA20FD"/>
    <w:rsid w:val="00BA2779"/>
    <w:rsid w:val="00BA546E"/>
    <w:rsid w:val="00BA68DF"/>
    <w:rsid w:val="00BA7651"/>
    <w:rsid w:val="00BB0917"/>
    <w:rsid w:val="00BB20FA"/>
    <w:rsid w:val="00BB3A82"/>
    <w:rsid w:val="00BC07AE"/>
    <w:rsid w:val="00BC11B2"/>
    <w:rsid w:val="00BC565D"/>
    <w:rsid w:val="00BC668D"/>
    <w:rsid w:val="00BC6FB6"/>
    <w:rsid w:val="00BC7307"/>
    <w:rsid w:val="00BD5D1F"/>
    <w:rsid w:val="00BE61F2"/>
    <w:rsid w:val="00BE6B26"/>
    <w:rsid w:val="00BE6B8A"/>
    <w:rsid w:val="00BF272E"/>
    <w:rsid w:val="00BF2A42"/>
    <w:rsid w:val="00BF338E"/>
    <w:rsid w:val="00BF4C51"/>
    <w:rsid w:val="00BF5327"/>
    <w:rsid w:val="00BF5B53"/>
    <w:rsid w:val="00C006E8"/>
    <w:rsid w:val="00C00849"/>
    <w:rsid w:val="00C047CF"/>
    <w:rsid w:val="00C04CC2"/>
    <w:rsid w:val="00C13661"/>
    <w:rsid w:val="00C14C9E"/>
    <w:rsid w:val="00C2106A"/>
    <w:rsid w:val="00C2196D"/>
    <w:rsid w:val="00C226C1"/>
    <w:rsid w:val="00C227DB"/>
    <w:rsid w:val="00C23524"/>
    <w:rsid w:val="00C262FD"/>
    <w:rsid w:val="00C2725B"/>
    <w:rsid w:val="00C27EC6"/>
    <w:rsid w:val="00C31B54"/>
    <w:rsid w:val="00C31F37"/>
    <w:rsid w:val="00C32E6A"/>
    <w:rsid w:val="00C33086"/>
    <w:rsid w:val="00C34EE1"/>
    <w:rsid w:val="00C418AF"/>
    <w:rsid w:val="00C41C37"/>
    <w:rsid w:val="00C43332"/>
    <w:rsid w:val="00C44075"/>
    <w:rsid w:val="00C444E2"/>
    <w:rsid w:val="00C51068"/>
    <w:rsid w:val="00C51716"/>
    <w:rsid w:val="00C517A1"/>
    <w:rsid w:val="00C53CD8"/>
    <w:rsid w:val="00C6069D"/>
    <w:rsid w:val="00C631E5"/>
    <w:rsid w:val="00C658D4"/>
    <w:rsid w:val="00C70485"/>
    <w:rsid w:val="00C73221"/>
    <w:rsid w:val="00C74C03"/>
    <w:rsid w:val="00C772EA"/>
    <w:rsid w:val="00C83EF6"/>
    <w:rsid w:val="00C86919"/>
    <w:rsid w:val="00C86C7B"/>
    <w:rsid w:val="00C92043"/>
    <w:rsid w:val="00C9449A"/>
    <w:rsid w:val="00C96468"/>
    <w:rsid w:val="00C97785"/>
    <w:rsid w:val="00CA008B"/>
    <w:rsid w:val="00CA10AE"/>
    <w:rsid w:val="00CA1714"/>
    <w:rsid w:val="00CA18DA"/>
    <w:rsid w:val="00CA33F7"/>
    <w:rsid w:val="00CA7BC8"/>
    <w:rsid w:val="00CB0880"/>
    <w:rsid w:val="00CB2E83"/>
    <w:rsid w:val="00CB6333"/>
    <w:rsid w:val="00CC0DCD"/>
    <w:rsid w:val="00CC1A52"/>
    <w:rsid w:val="00CC5504"/>
    <w:rsid w:val="00CC6446"/>
    <w:rsid w:val="00CD0323"/>
    <w:rsid w:val="00CD0B5F"/>
    <w:rsid w:val="00CD0DDF"/>
    <w:rsid w:val="00CD14C9"/>
    <w:rsid w:val="00CD4ADC"/>
    <w:rsid w:val="00CD6542"/>
    <w:rsid w:val="00CD6F22"/>
    <w:rsid w:val="00CE32FB"/>
    <w:rsid w:val="00CF2F83"/>
    <w:rsid w:val="00CF47E1"/>
    <w:rsid w:val="00CF4AB9"/>
    <w:rsid w:val="00CF69D3"/>
    <w:rsid w:val="00CF7517"/>
    <w:rsid w:val="00D00883"/>
    <w:rsid w:val="00D02745"/>
    <w:rsid w:val="00D05538"/>
    <w:rsid w:val="00D060F2"/>
    <w:rsid w:val="00D07825"/>
    <w:rsid w:val="00D1116C"/>
    <w:rsid w:val="00D1258B"/>
    <w:rsid w:val="00D12F4E"/>
    <w:rsid w:val="00D13685"/>
    <w:rsid w:val="00D13AF1"/>
    <w:rsid w:val="00D151F2"/>
    <w:rsid w:val="00D157F2"/>
    <w:rsid w:val="00D27301"/>
    <w:rsid w:val="00D27B3A"/>
    <w:rsid w:val="00D41F21"/>
    <w:rsid w:val="00D42104"/>
    <w:rsid w:val="00D43F25"/>
    <w:rsid w:val="00D50073"/>
    <w:rsid w:val="00D50FC6"/>
    <w:rsid w:val="00D51618"/>
    <w:rsid w:val="00D53C2A"/>
    <w:rsid w:val="00D543E9"/>
    <w:rsid w:val="00D56435"/>
    <w:rsid w:val="00D57FB3"/>
    <w:rsid w:val="00D60F3F"/>
    <w:rsid w:val="00D62566"/>
    <w:rsid w:val="00D63B2D"/>
    <w:rsid w:val="00D63E83"/>
    <w:rsid w:val="00D65087"/>
    <w:rsid w:val="00D67AAF"/>
    <w:rsid w:val="00D72130"/>
    <w:rsid w:val="00D7439F"/>
    <w:rsid w:val="00D75A66"/>
    <w:rsid w:val="00D76D27"/>
    <w:rsid w:val="00D8088C"/>
    <w:rsid w:val="00D83396"/>
    <w:rsid w:val="00D8396D"/>
    <w:rsid w:val="00D84A50"/>
    <w:rsid w:val="00D854A2"/>
    <w:rsid w:val="00D8594D"/>
    <w:rsid w:val="00D85AF6"/>
    <w:rsid w:val="00D87912"/>
    <w:rsid w:val="00D90F32"/>
    <w:rsid w:val="00D924A5"/>
    <w:rsid w:val="00D94136"/>
    <w:rsid w:val="00D95CFC"/>
    <w:rsid w:val="00D95EE5"/>
    <w:rsid w:val="00D96FD6"/>
    <w:rsid w:val="00DA0DC3"/>
    <w:rsid w:val="00DA279F"/>
    <w:rsid w:val="00DA37D0"/>
    <w:rsid w:val="00DA3C14"/>
    <w:rsid w:val="00DB0518"/>
    <w:rsid w:val="00DB3CBD"/>
    <w:rsid w:val="00DB4887"/>
    <w:rsid w:val="00DB5416"/>
    <w:rsid w:val="00DB71D1"/>
    <w:rsid w:val="00DC1D31"/>
    <w:rsid w:val="00DC266D"/>
    <w:rsid w:val="00DC2690"/>
    <w:rsid w:val="00DC43C0"/>
    <w:rsid w:val="00DC4817"/>
    <w:rsid w:val="00DC5C99"/>
    <w:rsid w:val="00DC6B47"/>
    <w:rsid w:val="00DD5A27"/>
    <w:rsid w:val="00DD5FA7"/>
    <w:rsid w:val="00DE0E3E"/>
    <w:rsid w:val="00DE0F41"/>
    <w:rsid w:val="00DE2ACE"/>
    <w:rsid w:val="00DE48B4"/>
    <w:rsid w:val="00DE4E95"/>
    <w:rsid w:val="00DE7B44"/>
    <w:rsid w:val="00DF1325"/>
    <w:rsid w:val="00DF2297"/>
    <w:rsid w:val="00E0141F"/>
    <w:rsid w:val="00E02F87"/>
    <w:rsid w:val="00E04555"/>
    <w:rsid w:val="00E04D87"/>
    <w:rsid w:val="00E04F57"/>
    <w:rsid w:val="00E06C18"/>
    <w:rsid w:val="00E10536"/>
    <w:rsid w:val="00E12111"/>
    <w:rsid w:val="00E1492C"/>
    <w:rsid w:val="00E15B80"/>
    <w:rsid w:val="00E16A69"/>
    <w:rsid w:val="00E20304"/>
    <w:rsid w:val="00E203D2"/>
    <w:rsid w:val="00E20A8D"/>
    <w:rsid w:val="00E20FB0"/>
    <w:rsid w:val="00E21A75"/>
    <w:rsid w:val="00E221F1"/>
    <w:rsid w:val="00E22379"/>
    <w:rsid w:val="00E2389F"/>
    <w:rsid w:val="00E23FCC"/>
    <w:rsid w:val="00E24304"/>
    <w:rsid w:val="00E25299"/>
    <w:rsid w:val="00E3094D"/>
    <w:rsid w:val="00E347F7"/>
    <w:rsid w:val="00E3707F"/>
    <w:rsid w:val="00E37EB2"/>
    <w:rsid w:val="00E43CC3"/>
    <w:rsid w:val="00E43F11"/>
    <w:rsid w:val="00E50874"/>
    <w:rsid w:val="00E522ED"/>
    <w:rsid w:val="00E5311F"/>
    <w:rsid w:val="00E53959"/>
    <w:rsid w:val="00E57610"/>
    <w:rsid w:val="00E6467A"/>
    <w:rsid w:val="00E64A30"/>
    <w:rsid w:val="00E670E0"/>
    <w:rsid w:val="00E6776A"/>
    <w:rsid w:val="00E71C5C"/>
    <w:rsid w:val="00E733A1"/>
    <w:rsid w:val="00E762E2"/>
    <w:rsid w:val="00E85AAB"/>
    <w:rsid w:val="00E865ED"/>
    <w:rsid w:val="00E8785A"/>
    <w:rsid w:val="00E932C0"/>
    <w:rsid w:val="00E956D6"/>
    <w:rsid w:val="00E963C5"/>
    <w:rsid w:val="00E9681C"/>
    <w:rsid w:val="00E96D43"/>
    <w:rsid w:val="00E96EBA"/>
    <w:rsid w:val="00E97916"/>
    <w:rsid w:val="00EA0EA4"/>
    <w:rsid w:val="00EA16A3"/>
    <w:rsid w:val="00EA1ECB"/>
    <w:rsid w:val="00EA6846"/>
    <w:rsid w:val="00EB1D4D"/>
    <w:rsid w:val="00EB3FEE"/>
    <w:rsid w:val="00EB7C75"/>
    <w:rsid w:val="00EC1371"/>
    <w:rsid w:val="00EC2A40"/>
    <w:rsid w:val="00EC6820"/>
    <w:rsid w:val="00EC7052"/>
    <w:rsid w:val="00ED0AD2"/>
    <w:rsid w:val="00ED1A0F"/>
    <w:rsid w:val="00ED41CD"/>
    <w:rsid w:val="00ED65A7"/>
    <w:rsid w:val="00EE0A53"/>
    <w:rsid w:val="00EE361D"/>
    <w:rsid w:val="00EE4892"/>
    <w:rsid w:val="00EF0DCA"/>
    <w:rsid w:val="00EF2BE4"/>
    <w:rsid w:val="00EF5E2C"/>
    <w:rsid w:val="00F02B63"/>
    <w:rsid w:val="00F04867"/>
    <w:rsid w:val="00F056D9"/>
    <w:rsid w:val="00F0617C"/>
    <w:rsid w:val="00F118A0"/>
    <w:rsid w:val="00F1197A"/>
    <w:rsid w:val="00F14C2F"/>
    <w:rsid w:val="00F1605E"/>
    <w:rsid w:val="00F16C8E"/>
    <w:rsid w:val="00F16D17"/>
    <w:rsid w:val="00F23A05"/>
    <w:rsid w:val="00F2711D"/>
    <w:rsid w:val="00F30D3D"/>
    <w:rsid w:val="00F3136E"/>
    <w:rsid w:val="00F31B96"/>
    <w:rsid w:val="00F33324"/>
    <w:rsid w:val="00F34C17"/>
    <w:rsid w:val="00F3630A"/>
    <w:rsid w:val="00F37619"/>
    <w:rsid w:val="00F376E5"/>
    <w:rsid w:val="00F378D1"/>
    <w:rsid w:val="00F504AC"/>
    <w:rsid w:val="00F564C1"/>
    <w:rsid w:val="00F56B9C"/>
    <w:rsid w:val="00F62253"/>
    <w:rsid w:val="00F63BFF"/>
    <w:rsid w:val="00F64AAA"/>
    <w:rsid w:val="00F71814"/>
    <w:rsid w:val="00F725F7"/>
    <w:rsid w:val="00F73EB0"/>
    <w:rsid w:val="00F76B06"/>
    <w:rsid w:val="00F80548"/>
    <w:rsid w:val="00F8088A"/>
    <w:rsid w:val="00F80A70"/>
    <w:rsid w:val="00F80A93"/>
    <w:rsid w:val="00F8234E"/>
    <w:rsid w:val="00F826CC"/>
    <w:rsid w:val="00F83530"/>
    <w:rsid w:val="00F90239"/>
    <w:rsid w:val="00F91BA9"/>
    <w:rsid w:val="00F91C61"/>
    <w:rsid w:val="00F95662"/>
    <w:rsid w:val="00F95ABD"/>
    <w:rsid w:val="00F967D6"/>
    <w:rsid w:val="00F96AC9"/>
    <w:rsid w:val="00F97805"/>
    <w:rsid w:val="00F97FDD"/>
    <w:rsid w:val="00FA0AFB"/>
    <w:rsid w:val="00FA2ABA"/>
    <w:rsid w:val="00FA37F1"/>
    <w:rsid w:val="00FA7CC5"/>
    <w:rsid w:val="00FB0BE0"/>
    <w:rsid w:val="00FB28CC"/>
    <w:rsid w:val="00FB394C"/>
    <w:rsid w:val="00FB397B"/>
    <w:rsid w:val="00FB5091"/>
    <w:rsid w:val="00FB5C4E"/>
    <w:rsid w:val="00FB666A"/>
    <w:rsid w:val="00FC08F7"/>
    <w:rsid w:val="00FC1318"/>
    <w:rsid w:val="00FC3EE9"/>
    <w:rsid w:val="00FC3FBC"/>
    <w:rsid w:val="00FC412C"/>
    <w:rsid w:val="00FC453E"/>
    <w:rsid w:val="00FD6523"/>
    <w:rsid w:val="00FD7301"/>
    <w:rsid w:val="00FD7B23"/>
    <w:rsid w:val="00FE0653"/>
    <w:rsid w:val="00FE0D2A"/>
    <w:rsid w:val="00FE17E4"/>
    <w:rsid w:val="00FE3E7D"/>
    <w:rsid w:val="00FE449D"/>
    <w:rsid w:val="00FF056E"/>
    <w:rsid w:val="00FF466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F1FE"/>
  <w15:chartTrackingRefBased/>
  <w15:docId w15:val="{D7A7A19C-DEEB-4FD8-A937-1042BE4C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41"/>
  </w:style>
  <w:style w:type="paragraph" w:styleId="Heading1">
    <w:name w:val="heading 1"/>
    <w:basedOn w:val="Normal"/>
    <w:next w:val="Normal"/>
    <w:link w:val="Heading1Char"/>
    <w:qFormat/>
    <w:rsid w:val="00DE0F41"/>
    <w:pPr>
      <w:keepNext/>
      <w:keepLines/>
      <w:widowControl w:val="0"/>
      <w:numPr>
        <w:numId w:val="11"/>
      </w:numPr>
      <w:spacing w:before="480" w:after="120" w:line="276" w:lineRule="auto"/>
      <w:ind w:left="431" w:hanging="431"/>
      <w:jc w:val="both"/>
      <w:outlineLvl w:val="0"/>
    </w:pPr>
    <w:rPr>
      <w:rFonts w:ascii="Times New Roman" w:eastAsia="MS Gothic" w:hAnsi="Times New Roman" w:cs="Tahoma"/>
      <w:b/>
      <w:bCs/>
      <w:sz w:val="28"/>
      <w:szCs w:val="32"/>
    </w:rPr>
  </w:style>
  <w:style w:type="paragraph" w:styleId="Heading2">
    <w:name w:val="heading 2"/>
    <w:basedOn w:val="Normal"/>
    <w:next w:val="Normal"/>
    <w:link w:val="Heading2Char"/>
    <w:qFormat/>
    <w:rsid w:val="00DE0F41"/>
    <w:pPr>
      <w:keepNext/>
      <w:keepLines/>
      <w:widowControl w:val="0"/>
      <w:numPr>
        <w:ilvl w:val="1"/>
        <w:numId w:val="11"/>
      </w:numPr>
      <w:suppressAutoHyphens/>
      <w:spacing w:before="360" w:after="120" w:line="276" w:lineRule="auto"/>
      <w:ind w:left="578" w:hanging="578"/>
      <w:textAlignment w:val="baseline"/>
      <w:outlineLvl w:val="1"/>
    </w:pPr>
    <w:rPr>
      <w:rFonts w:ascii="Times New Roman" w:eastAsia="MS Gothic" w:hAnsi="Times New Roman" w:cs="Tahoma"/>
      <w:b/>
      <w:bCs/>
      <w:sz w:val="24"/>
      <w:szCs w:val="26"/>
    </w:rPr>
  </w:style>
  <w:style w:type="paragraph" w:styleId="Heading3">
    <w:name w:val="heading 3"/>
    <w:basedOn w:val="Normal"/>
    <w:next w:val="Normal"/>
    <w:link w:val="Heading3Char"/>
    <w:qFormat/>
    <w:rsid w:val="00DE0F41"/>
    <w:pPr>
      <w:keepNext/>
      <w:keepLines/>
      <w:widowControl w:val="0"/>
      <w:numPr>
        <w:ilvl w:val="2"/>
        <w:numId w:val="11"/>
      </w:numPr>
      <w:suppressAutoHyphens/>
      <w:spacing w:before="202" w:after="115" w:line="276" w:lineRule="auto"/>
      <w:textAlignment w:val="baseline"/>
      <w:outlineLvl w:val="2"/>
    </w:pPr>
    <w:rPr>
      <w:rFonts w:ascii="Times New Roman" w:eastAsia="MS Gothic" w:hAnsi="Times New Roman" w:cs="Tahoma"/>
      <w:b/>
      <w:bCs/>
      <w:szCs w:val="24"/>
    </w:rPr>
  </w:style>
  <w:style w:type="paragraph" w:styleId="Heading4">
    <w:name w:val="heading 4"/>
    <w:basedOn w:val="Normal"/>
    <w:next w:val="Normal"/>
    <w:link w:val="Heading4Char"/>
    <w:qFormat/>
    <w:rsid w:val="00DE0F41"/>
    <w:pPr>
      <w:keepNext/>
      <w:keepLines/>
      <w:numPr>
        <w:ilvl w:val="3"/>
        <w:numId w:val="11"/>
      </w:numPr>
      <w:suppressAutoHyphens/>
      <w:spacing w:before="200" w:after="0" w:line="276" w:lineRule="auto"/>
      <w:jc w:val="both"/>
      <w:textAlignment w:val="baseline"/>
      <w:outlineLvl w:val="3"/>
    </w:pPr>
    <w:rPr>
      <w:rFonts w:ascii="Calibri" w:eastAsia="MS Gothic" w:hAnsi="Calibri" w:cs="Tahoma"/>
      <w:b/>
      <w:bCs/>
      <w:i/>
      <w:iCs/>
      <w:color w:val="4F81BD"/>
      <w:szCs w:val="24"/>
    </w:rPr>
  </w:style>
  <w:style w:type="paragraph" w:styleId="Heading5">
    <w:name w:val="heading 5"/>
    <w:basedOn w:val="Normal"/>
    <w:next w:val="Normal"/>
    <w:link w:val="Heading5Char"/>
    <w:qFormat/>
    <w:rsid w:val="00DE0F41"/>
    <w:pPr>
      <w:keepNext/>
      <w:keepLines/>
      <w:numPr>
        <w:ilvl w:val="4"/>
        <w:numId w:val="11"/>
      </w:numPr>
      <w:suppressAutoHyphens/>
      <w:spacing w:before="200" w:after="0" w:line="276" w:lineRule="auto"/>
      <w:jc w:val="both"/>
      <w:textAlignment w:val="baseline"/>
      <w:outlineLvl w:val="4"/>
    </w:pPr>
    <w:rPr>
      <w:rFonts w:ascii="Calibri" w:eastAsia="MS Gothic" w:hAnsi="Calibri" w:cs="Tahoma"/>
      <w:color w:val="243F60"/>
      <w:szCs w:val="24"/>
    </w:rPr>
  </w:style>
  <w:style w:type="paragraph" w:styleId="Heading6">
    <w:name w:val="heading 6"/>
    <w:basedOn w:val="Normal"/>
    <w:next w:val="Normal"/>
    <w:link w:val="Heading6Char"/>
    <w:qFormat/>
    <w:rsid w:val="00DE0F41"/>
    <w:pPr>
      <w:keepNext/>
      <w:keepLines/>
      <w:numPr>
        <w:ilvl w:val="5"/>
        <w:numId w:val="11"/>
      </w:numPr>
      <w:suppressAutoHyphens/>
      <w:spacing w:before="200" w:after="0" w:line="276" w:lineRule="auto"/>
      <w:jc w:val="both"/>
      <w:textAlignment w:val="baseline"/>
      <w:outlineLvl w:val="5"/>
    </w:pPr>
    <w:rPr>
      <w:rFonts w:ascii="Calibri" w:eastAsia="MS Gothic" w:hAnsi="Calibri" w:cs="Tahoma"/>
      <w:i/>
      <w:iCs/>
      <w:color w:val="243F60"/>
      <w:szCs w:val="24"/>
    </w:rPr>
  </w:style>
  <w:style w:type="paragraph" w:styleId="Heading7">
    <w:name w:val="heading 7"/>
    <w:basedOn w:val="Normal"/>
    <w:next w:val="Normal"/>
    <w:link w:val="Heading7Char"/>
    <w:qFormat/>
    <w:rsid w:val="00DE0F41"/>
    <w:pPr>
      <w:keepNext/>
      <w:keepLines/>
      <w:numPr>
        <w:ilvl w:val="6"/>
        <w:numId w:val="11"/>
      </w:numPr>
      <w:suppressAutoHyphens/>
      <w:spacing w:before="200" w:after="0" w:line="276" w:lineRule="auto"/>
      <w:jc w:val="both"/>
      <w:textAlignment w:val="baseline"/>
      <w:outlineLvl w:val="6"/>
    </w:pPr>
    <w:rPr>
      <w:rFonts w:ascii="Calibri" w:eastAsia="MS Gothic" w:hAnsi="Calibri" w:cs="Tahoma"/>
      <w:i/>
      <w:iCs/>
      <w:color w:val="404040"/>
      <w:szCs w:val="24"/>
    </w:rPr>
  </w:style>
  <w:style w:type="paragraph" w:styleId="Heading8">
    <w:name w:val="heading 8"/>
    <w:basedOn w:val="Normal"/>
    <w:next w:val="Normal"/>
    <w:link w:val="Heading8Char"/>
    <w:qFormat/>
    <w:rsid w:val="00DE0F41"/>
    <w:pPr>
      <w:keepNext/>
      <w:keepLines/>
      <w:numPr>
        <w:ilvl w:val="7"/>
        <w:numId w:val="11"/>
      </w:numPr>
      <w:suppressAutoHyphens/>
      <w:spacing w:before="200" w:after="0" w:line="276" w:lineRule="auto"/>
      <w:jc w:val="both"/>
      <w:textAlignment w:val="baseline"/>
      <w:outlineLvl w:val="7"/>
    </w:pPr>
    <w:rPr>
      <w:rFonts w:ascii="Calibri" w:eastAsia="MS Gothic" w:hAnsi="Calibri" w:cs="Tahoma"/>
      <w:color w:val="404040"/>
      <w:sz w:val="20"/>
      <w:szCs w:val="20"/>
    </w:rPr>
  </w:style>
  <w:style w:type="paragraph" w:styleId="Heading9">
    <w:name w:val="heading 9"/>
    <w:basedOn w:val="Normal"/>
    <w:next w:val="Normal"/>
    <w:link w:val="Heading9Char"/>
    <w:qFormat/>
    <w:rsid w:val="00DE0F41"/>
    <w:pPr>
      <w:keepNext/>
      <w:keepLines/>
      <w:numPr>
        <w:ilvl w:val="8"/>
        <w:numId w:val="11"/>
      </w:numPr>
      <w:suppressAutoHyphens/>
      <w:spacing w:before="200" w:after="0" w:line="276" w:lineRule="auto"/>
      <w:jc w:val="both"/>
      <w:textAlignment w:val="baseline"/>
      <w:outlineLvl w:val="8"/>
    </w:pPr>
    <w:rPr>
      <w:rFonts w:ascii="Calibri" w:eastAsia="MS Gothic" w:hAnsi="Calibri" w:cs="Tahom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F41"/>
    <w:rPr>
      <w:rFonts w:ascii="Times New Roman" w:eastAsia="MS Gothic" w:hAnsi="Times New Roman" w:cs="Tahoma"/>
      <w:b/>
      <w:bCs/>
      <w:sz w:val="28"/>
      <w:szCs w:val="32"/>
    </w:rPr>
  </w:style>
  <w:style w:type="character" w:customStyle="1" w:styleId="Heading2Char">
    <w:name w:val="Heading 2 Char"/>
    <w:basedOn w:val="DefaultParagraphFont"/>
    <w:link w:val="Heading2"/>
    <w:rsid w:val="00DE0F41"/>
    <w:rPr>
      <w:rFonts w:ascii="Times New Roman" w:eastAsia="MS Gothic" w:hAnsi="Times New Roman" w:cs="Tahoma"/>
      <w:b/>
      <w:bCs/>
      <w:sz w:val="24"/>
      <w:szCs w:val="26"/>
    </w:rPr>
  </w:style>
  <w:style w:type="character" w:customStyle="1" w:styleId="Heading3Char">
    <w:name w:val="Heading 3 Char"/>
    <w:basedOn w:val="DefaultParagraphFont"/>
    <w:link w:val="Heading3"/>
    <w:rsid w:val="00DE0F41"/>
    <w:rPr>
      <w:rFonts w:ascii="Times New Roman" w:eastAsia="MS Gothic" w:hAnsi="Times New Roman" w:cs="Tahoma"/>
      <w:b/>
      <w:bCs/>
      <w:szCs w:val="24"/>
    </w:rPr>
  </w:style>
  <w:style w:type="character" w:customStyle="1" w:styleId="Heading4Char">
    <w:name w:val="Heading 4 Char"/>
    <w:basedOn w:val="DefaultParagraphFont"/>
    <w:link w:val="Heading4"/>
    <w:rsid w:val="00DE0F41"/>
    <w:rPr>
      <w:rFonts w:ascii="Calibri" w:eastAsia="MS Gothic" w:hAnsi="Calibri" w:cs="Tahoma"/>
      <w:b/>
      <w:bCs/>
      <w:i/>
      <w:iCs/>
      <w:color w:val="4F81BD"/>
      <w:szCs w:val="24"/>
    </w:rPr>
  </w:style>
  <w:style w:type="character" w:customStyle="1" w:styleId="Heading5Char">
    <w:name w:val="Heading 5 Char"/>
    <w:basedOn w:val="DefaultParagraphFont"/>
    <w:link w:val="Heading5"/>
    <w:rsid w:val="00DE0F41"/>
    <w:rPr>
      <w:rFonts w:ascii="Calibri" w:eastAsia="MS Gothic" w:hAnsi="Calibri" w:cs="Tahoma"/>
      <w:color w:val="243F60"/>
      <w:szCs w:val="24"/>
    </w:rPr>
  </w:style>
  <w:style w:type="character" w:customStyle="1" w:styleId="Heading6Char">
    <w:name w:val="Heading 6 Char"/>
    <w:basedOn w:val="DefaultParagraphFont"/>
    <w:link w:val="Heading6"/>
    <w:rsid w:val="00DE0F41"/>
    <w:rPr>
      <w:rFonts w:ascii="Calibri" w:eastAsia="MS Gothic" w:hAnsi="Calibri" w:cs="Tahoma"/>
      <w:i/>
      <w:iCs/>
      <w:color w:val="243F60"/>
      <w:szCs w:val="24"/>
    </w:rPr>
  </w:style>
  <w:style w:type="character" w:customStyle="1" w:styleId="Heading7Char">
    <w:name w:val="Heading 7 Char"/>
    <w:basedOn w:val="DefaultParagraphFont"/>
    <w:link w:val="Heading7"/>
    <w:rsid w:val="00DE0F41"/>
    <w:rPr>
      <w:rFonts w:ascii="Calibri" w:eastAsia="MS Gothic" w:hAnsi="Calibri" w:cs="Tahoma"/>
      <w:i/>
      <w:iCs/>
      <w:color w:val="404040"/>
      <w:szCs w:val="24"/>
    </w:rPr>
  </w:style>
  <w:style w:type="character" w:customStyle="1" w:styleId="Heading8Char">
    <w:name w:val="Heading 8 Char"/>
    <w:basedOn w:val="DefaultParagraphFont"/>
    <w:link w:val="Heading8"/>
    <w:rsid w:val="00DE0F41"/>
    <w:rPr>
      <w:rFonts w:ascii="Calibri" w:eastAsia="MS Gothic" w:hAnsi="Calibri" w:cs="Tahoma"/>
      <w:color w:val="404040"/>
      <w:sz w:val="20"/>
      <w:szCs w:val="20"/>
    </w:rPr>
  </w:style>
  <w:style w:type="character" w:customStyle="1" w:styleId="Heading9Char">
    <w:name w:val="Heading 9 Char"/>
    <w:basedOn w:val="DefaultParagraphFont"/>
    <w:link w:val="Heading9"/>
    <w:rsid w:val="00DE0F41"/>
    <w:rPr>
      <w:rFonts w:ascii="Calibri" w:eastAsia="MS Gothic" w:hAnsi="Calibri" w:cs="Tahoma"/>
      <w:i/>
      <w:iCs/>
      <w:color w:val="404040"/>
      <w:sz w:val="20"/>
      <w:szCs w:val="20"/>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o"/>
    <w:basedOn w:val="Normal"/>
    <w:link w:val="FootnoteTextChar"/>
    <w:uiPriority w:val="99"/>
    <w:unhideWhenUsed/>
    <w:qFormat/>
    <w:rsid w:val="00DE0F41"/>
    <w:pPr>
      <w:spacing w:after="0" w:line="240" w:lineRule="auto"/>
    </w:pPr>
    <w:rPr>
      <w:rFonts w:eastAsiaTheme="minorEastAsia"/>
      <w:sz w:val="20"/>
      <w:szCs w:val="20"/>
      <w:lang w:eastAsia="lv-LV"/>
    </w:rPr>
  </w:style>
  <w:style w:type="character" w:customStyle="1" w:styleId="FootnoteTextChar">
    <w:name w:val="Footnote Text Char"/>
    <w:aliases w:val="Footnote Char,Fußnote Char,Char Char,Char Rakstz. Rakstz. Rakstz. Rakstz. Rakstz. Rakstz. Rakstz. Char,Char Rakstz. Rakstz. Rakstz. Rakstz. Rakstz. Rakstz. Char,f Char,Fußn Char,o Char"/>
    <w:basedOn w:val="DefaultParagraphFont"/>
    <w:link w:val="FootnoteText"/>
    <w:uiPriority w:val="99"/>
    <w:qFormat/>
    <w:rsid w:val="00DE0F41"/>
    <w:rPr>
      <w:rFonts w:eastAsiaTheme="minorEastAsia"/>
      <w:sz w:val="20"/>
      <w:szCs w:val="20"/>
      <w:lang w:eastAsia="lv-LV"/>
    </w:rPr>
  </w:style>
  <w:style w:type="character" w:styleId="FootnoteReference">
    <w:name w:val="footnote reference"/>
    <w:aliases w:val="Footnote Reference Number,Footnote symbol,SUPERS,ftref,Footnote Refernece,stylish,BVI fnr,Fußnotenzeichen_Raxen,callout,Footnote Reference Superscript,EN Footnote Reference,Footnote Reference text,Footnote reference number,16 Point"/>
    <w:basedOn w:val="DefaultParagraphFont"/>
    <w:link w:val="Odwoanieprzypisu"/>
    <w:uiPriority w:val="99"/>
    <w:unhideWhenUsed/>
    <w:qFormat/>
    <w:rsid w:val="00DE0F41"/>
    <w:rPr>
      <w:vertAlign w:val="superscript"/>
    </w:rPr>
  </w:style>
  <w:style w:type="paragraph" w:styleId="Header">
    <w:name w:val="header"/>
    <w:basedOn w:val="Normal"/>
    <w:link w:val="HeaderChar"/>
    <w:uiPriority w:val="99"/>
    <w:unhideWhenUsed/>
    <w:rsid w:val="00DE0F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0F41"/>
  </w:style>
  <w:style w:type="paragraph" w:styleId="Footer">
    <w:name w:val="footer"/>
    <w:basedOn w:val="Normal"/>
    <w:link w:val="FooterChar"/>
    <w:uiPriority w:val="99"/>
    <w:unhideWhenUsed/>
    <w:rsid w:val="00DE0F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0F41"/>
  </w:style>
  <w:style w:type="character" w:styleId="SubtleReference">
    <w:name w:val="Subtle Reference"/>
    <w:basedOn w:val="DefaultParagraphFont"/>
    <w:uiPriority w:val="31"/>
    <w:qFormat/>
    <w:rsid w:val="00DE0F41"/>
    <w:rPr>
      <w:smallCaps/>
      <w:color w:val="5A5A5A" w:themeColor="text1" w:themeTint="A5"/>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Saraksta rindkopa"/>
    <w:basedOn w:val="Normal"/>
    <w:link w:val="ListParagraphChar"/>
    <w:uiPriority w:val="34"/>
    <w:qFormat/>
    <w:rsid w:val="00DE0F41"/>
    <w:pPr>
      <w:ind w:left="720"/>
      <w:contextualSpacing/>
    </w:pPr>
  </w:style>
  <w:style w:type="paragraph" w:customStyle="1" w:styleId="doc-ti2">
    <w:name w:val="doc-ti2"/>
    <w:basedOn w:val="Normal"/>
    <w:rsid w:val="00DE0F41"/>
    <w:pPr>
      <w:spacing w:before="240" w:after="120" w:line="312" w:lineRule="atLeast"/>
      <w:jc w:val="center"/>
    </w:pPr>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unhideWhenUsed/>
    <w:rsid w:val="00DE0F41"/>
    <w:rPr>
      <w:color w:val="0563C1" w:themeColor="hyperlink"/>
      <w:u w:val="single"/>
    </w:rPr>
  </w:style>
  <w:style w:type="paragraph" w:customStyle="1" w:styleId="tv2132">
    <w:name w:val="tv2132"/>
    <w:basedOn w:val="Normal"/>
    <w:rsid w:val="00DE0F41"/>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DE0F41"/>
    <w:rPr>
      <w:sz w:val="16"/>
      <w:szCs w:val="16"/>
    </w:rPr>
  </w:style>
  <w:style w:type="paragraph" w:styleId="CommentText">
    <w:name w:val="annotation text"/>
    <w:basedOn w:val="Normal"/>
    <w:link w:val="CommentTextChar"/>
    <w:uiPriority w:val="99"/>
    <w:semiHidden/>
    <w:unhideWhenUsed/>
    <w:rsid w:val="00DE0F41"/>
    <w:pPr>
      <w:spacing w:line="240" w:lineRule="auto"/>
    </w:pPr>
    <w:rPr>
      <w:sz w:val="20"/>
      <w:szCs w:val="20"/>
    </w:rPr>
  </w:style>
  <w:style w:type="character" w:customStyle="1" w:styleId="CommentTextChar">
    <w:name w:val="Comment Text Char"/>
    <w:basedOn w:val="DefaultParagraphFont"/>
    <w:link w:val="CommentText"/>
    <w:uiPriority w:val="99"/>
    <w:semiHidden/>
    <w:rsid w:val="00DE0F41"/>
    <w:rPr>
      <w:sz w:val="20"/>
      <w:szCs w:val="20"/>
    </w:rPr>
  </w:style>
  <w:style w:type="paragraph" w:styleId="CommentSubject">
    <w:name w:val="annotation subject"/>
    <w:basedOn w:val="CommentText"/>
    <w:next w:val="CommentText"/>
    <w:link w:val="CommentSubjectChar"/>
    <w:uiPriority w:val="99"/>
    <w:semiHidden/>
    <w:unhideWhenUsed/>
    <w:rsid w:val="00DE0F41"/>
    <w:rPr>
      <w:b/>
      <w:bCs/>
    </w:rPr>
  </w:style>
  <w:style w:type="character" w:customStyle="1" w:styleId="CommentSubjectChar">
    <w:name w:val="Comment Subject Char"/>
    <w:basedOn w:val="CommentTextChar"/>
    <w:link w:val="CommentSubject"/>
    <w:uiPriority w:val="99"/>
    <w:semiHidden/>
    <w:rsid w:val="00DE0F41"/>
    <w:rPr>
      <w:b/>
      <w:bCs/>
      <w:sz w:val="20"/>
      <w:szCs w:val="20"/>
    </w:rPr>
  </w:style>
  <w:style w:type="paragraph" w:styleId="BalloonText">
    <w:name w:val="Balloon Text"/>
    <w:basedOn w:val="Normal"/>
    <w:link w:val="BalloonTextChar"/>
    <w:uiPriority w:val="99"/>
    <w:semiHidden/>
    <w:unhideWhenUsed/>
    <w:rsid w:val="00DE0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F41"/>
    <w:rPr>
      <w:rFonts w:ascii="Segoe UI" w:hAnsi="Segoe UI" w:cs="Segoe UI"/>
      <w:sz w:val="18"/>
      <w:szCs w:val="18"/>
    </w:rPr>
  </w:style>
  <w:style w:type="paragraph" w:customStyle="1" w:styleId="Default">
    <w:name w:val="Default"/>
    <w:rsid w:val="00DE0F4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E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0F41"/>
    <w:pPr>
      <w:spacing w:after="0" w:line="240" w:lineRule="auto"/>
    </w:pPr>
  </w:style>
  <w:style w:type="character" w:customStyle="1" w:styleId="UnresolvedMention1">
    <w:name w:val="Unresolved Mention1"/>
    <w:basedOn w:val="DefaultParagraphFont"/>
    <w:uiPriority w:val="99"/>
    <w:semiHidden/>
    <w:unhideWhenUsed/>
    <w:rsid w:val="00DE0F41"/>
    <w:rPr>
      <w:color w:val="605E5C"/>
      <w:shd w:val="clear" w:color="auto" w:fill="E1DFDD"/>
    </w:rPr>
  </w:style>
  <w:style w:type="paragraph" w:styleId="HTMLPreformatted">
    <w:name w:val="HTML Preformatted"/>
    <w:basedOn w:val="Normal"/>
    <w:link w:val="HTMLPreformattedChar"/>
    <w:uiPriority w:val="99"/>
    <w:semiHidden/>
    <w:unhideWhenUsed/>
    <w:rsid w:val="00DE0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E0F41"/>
    <w:rPr>
      <w:rFonts w:ascii="Courier New" w:eastAsia="Times New Roman" w:hAnsi="Courier New" w:cs="Courier New"/>
      <w:sz w:val="20"/>
      <w:szCs w:val="20"/>
      <w:lang w:eastAsia="lv-LV"/>
    </w:rPr>
  </w:style>
  <w:style w:type="paragraph" w:customStyle="1" w:styleId="tabula">
    <w:name w:val="tabula."/>
    <w:basedOn w:val="Caption"/>
    <w:qFormat/>
    <w:rsid w:val="00DE0F41"/>
    <w:pPr>
      <w:suppressLineNumbers/>
      <w:suppressAutoHyphens/>
      <w:spacing w:before="173" w:after="58" w:line="276" w:lineRule="auto"/>
      <w:jc w:val="center"/>
      <w:textAlignment w:val="baseline"/>
    </w:pPr>
    <w:rPr>
      <w:rFonts w:ascii="Arial Narrow" w:eastAsia="Arial Narrow" w:hAnsi="Arial Narrow" w:cs="Arial Narrow"/>
      <w:b/>
      <w:i w:val="0"/>
      <w:color w:val="auto"/>
      <w:szCs w:val="24"/>
    </w:rPr>
  </w:style>
  <w:style w:type="paragraph" w:styleId="Caption">
    <w:name w:val="caption"/>
    <w:basedOn w:val="Normal"/>
    <w:next w:val="Normal"/>
    <w:uiPriority w:val="35"/>
    <w:semiHidden/>
    <w:unhideWhenUsed/>
    <w:qFormat/>
    <w:rsid w:val="00DE0F41"/>
    <w:pPr>
      <w:spacing w:after="200" w:line="240" w:lineRule="auto"/>
    </w:pPr>
    <w:rPr>
      <w:i/>
      <w:iCs/>
      <w:color w:val="44546A" w:themeColor="text2"/>
      <w:sz w:val="18"/>
      <w:szCs w:val="18"/>
    </w:rPr>
  </w:style>
  <w:style w:type="paragraph" w:customStyle="1" w:styleId="attls">
    <w:name w:val="attēls."/>
    <w:basedOn w:val="Caption"/>
    <w:qFormat/>
    <w:rsid w:val="00DE0F41"/>
    <w:pPr>
      <w:suppressLineNumbers/>
      <w:suppressAutoHyphens/>
      <w:spacing w:before="115" w:after="173" w:line="276" w:lineRule="auto"/>
      <w:jc w:val="center"/>
      <w:textAlignment w:val="baseline"/>
    </w:pPr>
    <w:rPr>
      <w:rFonts w:ascii="Arial Narrow" w:eastAsia="Arial Narrow" w:hAnsi="Arial Narrow" w:cs="Arial Narrow"/>
      <w:b/>
      <w:i w:val="0"/>
      <w:color w:val="auto"/>
      <w:sz w:val="20"/>
      <w:szCs w:val="24"/>
    </w:rPr>
  </w:style>
  <w:style w:type="paragraph" w:styleId="NormalWeb">
    <w:name w:val="Normal (Web)"/>
    <w:basedOn w:val="Normal"/>
    <w:uiPriority w:val="99"/>
    <w:unhideWhenUsed/>
    <w:rsid w:val="00DE0F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dwoanieprzypisu">
    <w:name w:val="Odwołanie przypisu"/>
    <w:aliases w:val="Ref,de nota al pie,-E Fußnotenzeichen,E,E FNZ"/>
    <w:basedOn w:val="Normal"/>
    <w:next w:val="Normal"/>
    <w:link w:val="FootnoteReference"/>
    <w:uiPriority w:val="99"/>
    <w:rsid w:val="00DE0F41"/>
    <w:pPr>
      <w:spacing w:line="240" w:lineRule="exact"/>
      <w:jc w:val="both"/>
    </w:pPr>
    <w:rPr>
      <w:vertAlign w:val="superscript"/>
    </w:rPr>
  </w:style>
  <w:style w:type="paragraph" w:customStyle="1" w:styleId="Para">
    <w:name w:val="Para"/>
    <w:basedOn w:val="Normal"/>
    <w:link w:val="ParaChar"/>
    <w:qFormat/>
    <w:rsid w:val="00DE0F41"/>
    <w:pPr>
      <w:numPr>
        <w:numId w:val="12"/>
      </w:numPr>
      <w:spacing w:after="120" w:line="240" w:lineRule="auto"/>
      <w:ind w:left="0" w:firstLine="0"/>
      <w:jc w:val="both"/>
    </w:pPr>
    <w:rPr>
      <w:rFonts w:ascii="Times New Roman" w:eastAsia="SimSun" w:hAnsi="Times New Roman" w:cs="Times New Roman"/>
      <w:sz w:val="24"/>
      <w:szCs w:val="20"/>
      <w:lang w:val="en-GB"/>
    </w:rPr>
  </w:style>
  <w:style w:type="character" w:customStyle="1" w:styleId="ParaChar">
    <w:name w:val="Para Char"/>
    <w:basedOn w:val="DefaultParagraphFont"/>
    <w:link w:val="Para"/>
    <w:rsid w:val="00DE0F41"/>
    <w:rPr>
      <w:rFonts w:ascii="Times New Roman" w:eastAsia="SimSun" w:hAnsi="Times New Roman" w:cs="Times New Roman"/>
      <w:sz w:val="24"/>
      <w:szCs w:val="20"/>
      <w:lang w:val="en-GB"/>
    </w:rPr>
  </w:style>
  <w:style w:type="character" w:styleId="IntenseEmphasis">
    <w:name w:val="Intense Emphasis"/>
    <w:uiPriority w:val="21"/>
    <w:qFormat/>
    <w:rsid w:val="00DE0F41"/>
    <w:rPr>
      <w:i/>
      <w:iCs/>
      <w:color w:val="4F81BD"/>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DE0F41"/>
  </w:style>
  <w:style w:type="character" w:styleId="Strong">
    <w:name w:val="Strong"/>
    <w:basedOn w:val="DefaultParagraphFont"/>
    <w:uiPriority w:val="22"/>
    <w:qFormat/>
    <w:rsid w:val="00DE0F41"/>
    <w:rPr>
      <w:b/>
      <w:bCs/>
    </w:rPr>
  </w:style>
  <w:style w:type="paragraph" w:customStyle="1" w:styleId="Standard">
    <w:name w:val="Standard"/>
    <w:rsid w:val="00DE0F41"/>
    <w:pPr>
      <w:suppressAutoHyphens/>
      <w:autoSpaceDN w:val="0"/>
      <w:spacing w:after="0" w:line="240" w:lineRule="auto"/>
    </w:pPr>
    <w:rPr>
      <w:rFonts w:ascii="Times New Roman" w:eastAsia="SimSun" w:hAnsi="Times New Roman" w:cs="Lucida Sans"/>
      <w:kern w:val="3"/>
      <w:szCs w:val="24"/>
      <w:lang w:eastAsia="zh-CN" w:bidi="hi-IN"/>
    </w:rPr>
  </w:style>
  <w:style w:type="paragraph" w:customStyle="1" w:styleId="TableContents">
    <w:name w:val="Table Contents"/>
    <w:basedOn w:val="Standard"/>
    <w:rsid w:val="00DE0F41"/>
    <w:pPr>
      <w:suppressLineNumbers/>
    </w:pPr>
  </w:style>
  <w:style w:type="character" w:customStyle="1" w:styleId="z-TopofFormChar">
    <w:name w:val="z-Top of Form Char"/>
    <w:basedOn w:val="DefaultParagraphFont"/>
    <w:link w:val="z-TopofForm"/>
    <w:uiPriority w:val="99"/>
    <w:semiHidden/>
    <w:rsid w:val="00DE0F41"/>
    <w:rPr>
      <w:rFonts w:ascii="Arial" w:eastAsia="Times New Roman" w:hAnsi="Arial" w:cs="Arial"/>
      <w:vanish/>
      <w:sz w:val="16"/>
      <w:szCs w:val="16"/>
      <w:lang w:eastAsia="lv-LV"/>
    </w:rPr>
  </w:style>
  <w:style w:type="paragraph" w:styleId="z-TopofForm">
    <w:name w:val="HTML Top of Form"/>
    <w:basedOn w:val="Normal"/>
    <w:next w:val="Normal"/>
    <w:link w:val="z-TopofFormChar"/>
    <w:hidden/>
    <w:uiPriority w:val="99"/>
    <w:semiHidden/>
    <w:unhideWhenUsed/>
    <w:rsid w:val="00DE0F41"/>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1">
    <w:name w:val="z-Top of Form Char1"/>
    <w:basedOn w:val="DefaultParagraphFont"/>
    <w:uiPriority w:val="99"/>
    <w:semiHidden/>
    <w:rsid w:val="00DE0F41"/>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0F41"/>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DE0F41"/>
    <w:pPr>
      <w:pBdr>
        <w:top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BottomofFormChar1">
    <w:name w:val="z-Bottom of Form Char1"/>
    <w:basedOn w:val="DefaultParagraphFont"/>
    <w:uiPriority w:val="99"/>
    <w:semiHidden/>
    <w:rsid w:val="00DE0F41"/>
    <w:rPr>
      <w:rFonts w:ascii="Arial" w:hAnsi="Arial" w:cs="Arial"/>
      <w:vanish/>
      <w:sz w:val="16"/>
      <w:szCs w:val="16"/>
    </w:rPr>
  </w:style>
  <w:style w:type="character" w:customStyle="1" w:styleId="UnresolvedMention2">
    <w:name w:val="Unresolved Mention2"/>
    <w:basedOn w:val="DefaultParagraphFont"/>
    <w:uiPriority w:val="99"/>
    <w:semiHidden/>
    <w:unhideWhenUsed/>
    <w:rsid w:val="0054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94254">
      <w:bodyDiv w:val="1"/>
      <w:marLeft w:val="0"/>
      <w:marRight w:val="0"/>
      <w:marTop w:val="0"/>
      <w:marBottom w:val="0"/>
      <w:divBdr>
        <w:top w:val="none" w:sz="0" w:space="0" w:color="auto"/>
        <w:left w:val="none" w:sz="0" w:space="0" w:color="auto"/>
        <w:bottom w:val="none" w:sz="0" w:space="0" w:color="auto"/>
        <w:right w:val="none" w:sz="0" w:space="0" w:color="auto"/>
      </w:divBdr>
    </w:div>
    <w:div w:id="790706100">
      <w:bodyDiv w:val="1"/>
      <w:marLeft w:val="0"/>
      <w:marRight w:val="0"/>
      <w:marTop w:val="0"/>
      <w:marBottom w:val="0"/>
      <w:divBdr>
        <w:top w:val="none" w:sz="0" w:space="0" w:color="auto"/>
        <w:left w:val="none" w:sz="0" w:space="0" w:color="auto"/>
        <w:bottom w:val="none" w:sz="0" w:space="0" w:color="auto"/>
        <w:right w:val="none" w:sz="0" w:space="0" w:color="auto"/>
      </w:divBdr>
    </w:div>
    <w:div w:id="1005287609">
      <w:bodyDiv w:val="1"/>
      <w:marLeft w:val="0"/>
      <w:marRight w:val="0"/>
      <w:marTop w:val="0"/>
      <w:marBottom w:val="0"/>
      <w:divBdr>
        <w:top w:val="none" w:sz="0" w:space="0" w:color="auto"/>
        <w:left w:val="none" w:sz="0" w:space="0" w:color="auto"/>
        <w:bottom w:val="none" w:sz="0" w:space="0" w:color="auto"/>
        <w:right w:val="none" w:sz="0" w:space="0" w:color="auto"/>
      </w:divBdr>
    </w:div>
    <w:div w:id="1053381720">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256136567">
      <w:bodyDiv w:val="1"/>
      <w:marLeft w:val="0"/>
      <w:marRight w:val="0"/>
      <w:marTop w:val="0"/>
      <w:marBottom w:val="0"/>
      <w:divBdr>
        <w:top w:val="none" w:sz="0" w:space="0" w:color="auto"/>
        <w:left w:val="none" w:sz="0" w:space="0" w:color="auto"/>
        <w:bottom w:val="none" w:sz="0" w:space="0" w:color="auto"/>
        <w:right w:val="none" w:sz="0" w:space="0" w:color="auto"/>
      </w:divBdr>
    </w:div>
    <w:div w:id="1460881378">
      <w:bodyDiv w:val="1"/>
      <w:marLeft w:val="0"/>
      <w:marRight w:val="0"/>
      <w:marTop w:val="0"/>
      <w:marBottom w:val="0"/>
      <w:divBdr>
        <w:top w:val="none" w:sz="0" w:space="0" w:color="auto"/>
        <w:left w:val="none" w:sz="0" w:space="0" w:color="auto"/>
        <w:bottom w:val="none" w:sz="0" w:space="0" w:color="auto"/>
        <w:right w:val="none" w:sz="0" w:space="0" w:color="auto"/>
      </w:divBdr>
    </w:div>
    <w:div w:id="1824733812">
      <w:bodyDiv w:val="1"/>
      <w:marLeft w:val="0"/>
      <w:marRight w:val="0"/>
      <w:marTop w:val="0"/>
      <w:marBottom w:val="0"/>
      <w:divBdr>
        <w:top w:val="none" w:sz="0" w:space="0" w:color="auto"/>
        <w:left w:val="none" w:sz="0" w:space="0" w:color="auto"/>
        <w:bottom w:val="none" w:sz="0" w:space="0" w:color="auto"/>
        <w:right w:val="none" w:sz="0" w:space="0" w:color="auto"/>
      </w:divBdr>
      <w:divsChild>
        <w:div w:id="711266194">
          <w:marLeft w:val="274"/>
          <w:marRight w:val="0"/>
          <w:marTop w:val="86"/>
          <w:marBottom w:val="0"/>
          <w:divBdr>
            <w:top w:val="none" w:sz="0" w:space="0" w:color="auto"/>
            <w:left w:val="none" w:sz="0" w:space="0" w:color="auto"/>
            <w:bottom w:val="none" w:sz="0" w:space="0" w:color="auto"/>
            <w:right w:val="none" w:sz="0" w:space="0" w:color="auto"/>
          </w:divBdr>
        </w:div>
        <w:div w:id="914823351">
          <w:marLeft w:val="274"/>
          <w:marRight w:val="0"/>
          <w:marTop w:val="86"/>
          <w:marBottom w:val="0"/>
          <w:divBdr>
            <w:top w:val="none" w:sz="0" w:space="0" w:color="auto"/>
            <w:left w:val="none" w:sz="0" w:space="0" w:color="auto"/>
            <w:bottom w:val="none" w:sz="0" w:space="0" w:color="auto"/>
            <w:right w:val="none" w:sz="0" w:space="0" w:color="auto"/>
          </w:divBdr>
        </w:div>
        <w:div w:id="957105532">
          <w:marLeft w:val="274"/>
          <w:marRight w:val="0"/>
          <w:marTop w:val="86"/>
          <w:marBottom w:val="0"/>
          <w:divBdr>
            <w:top w:val="none" w:sz="0" w:space="0" w:color="auto"/>
            <w:left w:val="none" w:sz="0" w:space="0" w:color="auto"/>
            <w:bottom w:val="none" w:sz="0" w:space="0" w:color="auto"/>
            <w:right w:val="none" w:sz="0" w:space="0" w:color="auto"/>
          </w:divBdr>
        </w:div>
        <w:div w:id="1201746017">
          <w:marLeft w:val="274"/>
          <w:marRight w:val="0"/>
          <w:marTop w:val="86"/>
          <w:marBottom w:val="0"/>
          <w:divBdr>
            <w:top w:val="none" w:sz="0" w:space="0" w:color="auto"/>
            <w:left w:val="none" w:sz="0" w:space="0" w:color="auto"/>
            <w:bottom w:val="none" w:sz="0" w:space="0" w:color="auto"/>
            <w:right w:val="none" w:sz="0" w:space="0" w:color="auto"/>
          </w:divBdr>
        </w:div>
      </w:divsChild>
    </w:div>
    <w:div w:id="18629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itania.saeima.lv/LIVS13/SaeimaLIVS13.nsf/0/50E60068CEE6D03AC22585FC0041F62F?OpenDocument" TargetMode="External"/><Relationship Id="rId2" Type="http://schemas.openxmlformats.org/officeDocument/2006/relationships/hyperlink" Target="http://titania.saeima.lv/LIVS12/SaeimaLIVS12.nsf/0/820E69C33B166D25C22581B60027D0B0?OpenDocument" TargetMode="External"/><Relationship Id="rId1" Type="http://schemas.openxmlformats.org/officeDocument/2006/relationships/hyperlink" Target="http://tap.mk.gov.lv/mk/tap/?pid=4042781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Nozares%20dati/Dati_izlaide_plat&#299;bas_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2.xlsx"/></Relationships>
</file>

<file path=word/charts/_rels/chart11.xml.rels><?xml version="1.0" encoding="UTF-8" standalone="yes"?>
<Relationships xmlns="http://schemas.openxmlformats.org/package/2006/relationships"><Relationship Id="rId3" Type="http://schemas.openxmlformats.org/officeDocument/2006/relationships/oleObject" Target="file:///C:\Users\agrita.karlapa\AppData\Local\Microsoft\Windows\INetCache\Content.Outlook\DHS7D35T\Darzeni_augl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grita.karlapa\AppData\Local\Microsoft\Windows\INetCache\Content.Outlook\PUPX2NML\Darzeni_augli.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VID%20dati/PVN%205%25%20likme%20062023_apr&#275;&#311;ini.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VID%20dati/PVN%205%25%20likme%20062023_apr&#275;&#311;ini.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5.xml"/></Relationships>
</file>

<file path=word/charts/_rels/chart2.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VID%20dati/PVN%205%25%20likme%20062023_apr&#275;&#311;in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PVD%20p&#257;rbaudes/PVD%20p&#257;rbaudes_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VID%20dati/PVN%205%25%20likme%20062023_apr&#275;&#311;in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VID%20dati/PVN%205%25%20likme%20062023_apr&#275;&#311;in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VID%20dati/PVN%205%25%20likme%20062023_apr&#275;&#311;ini.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https://zmgovlv-my.sharepoint.com/personal/agrita_karlapa_zm_gov_lv/Documents/Documents/PVN/5%25%20PVN/2023%20izv&#275;rt&#275;jums/VID%20dati/PVN%205%25%20likme%20062023_apr&#275;&#311;ini.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3.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4.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974839879708916E-2"/>
          <c:y val="4.6833429883281839E-2"/>
          <c:w val="0.88636918344390625"/>
          <c:h val="0.73230185805012016"/>
        </c:manualLayout>
      </c:layout>
      <c:barChart>
        <c:barDir val="col"/>
        <c:grouping val="clustered"/>
        <c:varyColors val="0"/>
        <c:ser>
          <c:idx val="0"/>
          <c:order val="0"/>
          <c:tx>
            <c:strRef>
              <c:f>Tirdzn_2023!$B$478</c:f>
              <c:strCache>
                <c:ptCount val="1"/>
                <c:pt idx="0">
                  <c:v>Importa gada pārmaiņas, %</c:v>
                </c:pt>
              </c:strCache>
            </c:strRef>
          </c:tx>
          <c:spPr>
            <a:solidFill>
              <a:schemeClr val="accent1"/>
            </a:solidFill>
            <a:ln>
              <a:noFill/>
            </a:ln>
            <a:effectLst/>
          </c:spPr>
          <c:invertIfNegative val="0"/>
          <c:dLbls>
            <c:dLbl>
              <c:idx val="0"/>
              <c:layout>
                <c:manualLayout>
                  <c:x val="-2.0472497540534662E-17"/>
                  <c:y val="1.5732546705998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B1-495D-B90A-6E15570B1A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Tirdzn_2023!$D$477:$H$477</c:f>
              <c:strCache>
                <c:ptCount val="5"/>
                <c:pt idx="0">
                  <c:v>2018/2017</c:v>
                </c:pt>
                <c:pt idx="1">
                  <c:v>2019/2018</c:v>
                </c:pt>
                <c:pt idx="2">
                  <c:v>2020/2019</c:v>
                </c:pt>
                <c:pt idx="3">
                  <c:v>2021/2020</c:v>
                </c:pt>
                <c:pt idx="4">
                  <c:v>2022/2021</c:v>
                </c:pt>
              </c:strCache>
            </c:strRef>
          </c:cat>
          <c:val>
            <c:numRef>
              <c:f>Tirdzn_2023!$D$478:$H$478</c:f>
              <c:numCache>
                <c:formatCode>0%</c:formatCode>
                <c:ptCount val="5"/>
                <c:pt idx="0">
                  <c:v>2.150094199326702E-2</c:v>
                </c:pt>
                <c:pt idx="1">
                  <c:v>0.1741777501916828</c:v>
                </c:pt>
                <c:pt idx="2">
                  <c:v>3.9680259583032784E-2</c:v>
                </c:pt>
                <c:pt idx="3">
                  <c:v>0.10920236666803795</c:v>
                </c:pt>
                <c:pt idx="4">
                  <c:v>0.26272233552126822</c:v>
                </c:pt>
              </c:numCache>
            </c:numRef>
          </c:val>
          <c:extLst>
            <c:ext xmlns:c16="http://schemas.microsoft.com/office/drawing/2014/chart" uri="{C3380CC4-5D6E-409C-BE32-E72D297353CC}">
              <c16:uniqueId val="{00000000-3F6E-4FD0-A7BB-15148F555C1D}"/>
            </c:ext>
          </c:extLst>
        </c:ser>
        <c:ser>
          <c:idx val="1"/>
          <c:order val="1"/>
          <c:tx>
            <c:strRef>
              <c:f>Tirdzn_2023!$B$479</c:f>
              <c:strCache>
                <c:ptCount val="1"/>
                <c:pt idx="0">
                  <c:v>Izlaides gada pārmaiņas, %</c:v>
                </c:pt>
              </c:strCache>
            </c:strRef>
          </c:tx>
          <c:spPr>
            <a:solidFill>
              <a:schemeClr val="accent2"/>
            </a:solidFill>
            <a:ln>
              <a:noFill/>
            </a:ln>
            <a:effectLst/>
          </c:spPr>
          <c:invertIfNegative val="0"/>
          <c:dLbls>
            <c:dLbl>
              <c:idx val="0"/>
              <c:layout>
                <c:manualLayout>
                  <c:x val="1.340033500837521E-2"/>
                  <c:y val="3.93313667649943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B1-495D-B90A-6E15570B1A12}"/>
                </c:ext>
              </c:extLst>
            </c:dLbl>
            <c:dLbl>
              <c:idx val="2"/>
              <c:layout>
                <c:manualLayout>
                  <c:x val="2.013804231589382E-2"/>
                  <c:y val="1.9412914734504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F6E-4FD0-A7BB-15148F555C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Tirdzn_2023!$D$477:$H$477</c:f>
              <c:strCache>
                <c:ptCount val="5"/>
                <c:pt idx="0">
                  <c:v>2018/2017</c:v>
                </c:pt>
                <c:pt idx="1">
                  <c:v>2019/2018</c:v>
                </c:pt>
                <c:pt idx="2">
                  <c:v>2020/2019</c:v>
                </c:pt>
                <c:pt idx="3">
                  <c:v>2021/2020</c:v>
                </c:pt>
                <c:pt idx="4">
                  <c:v>2022/2021</c:v>
                </c:pt>
              </c:strCache>
            </c:strRef>
          </c:cat>
          <c:val>
            <c:numRef>
              <c:f>Tirdzn_2023!$D$479:$H$479</c:f>
              <c:numCache>
                <c:formatCode>0%</c:formatCode>
                <c:ptCount val="5"/>
                <c:pt idx="0">
                  <c:v>0.10813380328832523</c:v>
                </c:pt>
                <c:pt idx="1">
                  <c:v>0.18078855124940119</c:v>
                </c:pt>
                <c:pt idx="2">
                  <c:v>-0.19001386962552014</c:v>
                </c:pt>
                <c:pt idx="3">
                  <c:v>-0.10873287671232879</c:v>
                </c:pt>
                <c:pt idx="4">
                  <c:v>0.54325504758254262</c:v>
                </c:pt>
              </c:numCache>
            </c:numRef>
          </c:val>
          <c:extLst>
            <c:ext xmlns:c16="http://schemas.microsoft.com/office/drawing/2014/chart" uri="{C3380CC4-5D6E-409C-BE32-E72D297353CC}">
              <c16:uniqueId val="{00000002-3F6E-4FD0-A7BB-15148F555C1D}"/>
            </c:ext>
          </c:extLst>
        </c:ser>
        <c:dLbls>
          <c:showLegendKey val="0"/>
          <c:showVal val="0"/>
          <c:showCatName val="0"/>
          <c:showSerName val="0"/>
          <c:showPercent val="0"/>
          <c:showBubbleSize val="0"/>
        </c:dLbls>
        <c:gapWidth val="219"/>
        <c:overlap val="-27"/>
        <c:axId val="-1528866016"/>
        <c:axId val="-1528855136"/>
      </c:barChart>
      <c:lineChart>
        <c:grouping val="standard"/>
        <c:varyColors val="0"/>
        <c:ser>
          <c:idx val="2"/>
          <c:order val="2"/>
          <c:tx>
            <c:strRef>
              <c:f>Tirdzn_2023!$B$481</c:f>
              <c:strCache>
                <c:ptCount val="1"/>
                <c:pt idx="0">
                  <c:v>Starpība, procentpunkti</c:v>
                </c:pt>
              </c:strCache>
            </c:strRef>
          </c:tx>
          <c:spPr>
            <a:ln w="28575" cap="rnd">
              <a:solidFill>
                <a:schemeClr val="accent3"/>
              </a:solidFill>
              <a:round/>
            </a:ln>
            <a:effectLst/>
          </c:spPr>
          <c:marker>
            <c:symbol val="circle"/>
            <c:size val="3"/>
            <c:spPr>
              <a:solidFill>
                <a:schemeClr val="accent3"/>
              </a:solidFill>
              <a:ln w="9525">
                <a:solidFill>
                  <a:schemeClr val="accent3"/>
                </a:solidFill>
                <a:prstDash val="sysDot"/>
              </a:ln>
              <a:effectLst/>
            </c:spPr>
          </c:marker>
          <c:dLbls>
            <c:dLbl>
              <c:idx val="0"/>
              <c:layout>
                <c:manualLayout>
                  <c:x val="-4.2289888863377194E-2"/>
                  <c:y val="-2.264840052358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F6E-4FD0-A7BB-15148F555C1D}"/>
                </c:ext>
              </c:extLst>
            </c:dLbl>
            <c:dLbl>
              <c:idx val="1"/>
              <c:layout>
                <c:manualLayout>
                  <c:x val="-3.222086770543027E-2"/>
                  <c:y val="4.206131525809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F6E-4FD0-A7BB-15148F555C1D}"/>
                </c:ext>
              </c:extLst>
            </c:dLbl>
            <c:dLbl>
              <c:idx val="2"/>
              <c:layout>
                <c:manualLayout>
                  <c:x val="-6.4441735410860457E-2"/>
                  <c:y val="9.7064573672520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F6E-4FD0-A7BB-15148F555C1D}"/>
                </c:ext>
              </c:extLst>
            </c:dLbl>
            <c:dLbl>
              <c:idx val="3"/>
              <c:layout>
                <c:manualLayout>
                  <c:x val="0"/>
                  <c:y val="-3.8825829469008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F6E-4FD0-A7BB-15148F555C1D}"/>
                </c:ext>
              </c:extLst>
            </c:dLbl>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Tirdzn_2023!$C$477:$H$477</c:f>
              <c:strCache>
                <c:ptCount val="6"/>
                <c:pt idx="0">
                  <c:v>2017</c:v>
                </c:pt>
                <c:pt idx="1">
                  <c:v>2018/2017</c:v>
                </c:pt>
                <c:pt idx="2">
                  <c:v>2019/2018</c:v>
                </c:pt>
                <c:pt idx="3">
                  <c:v>2020/2019</c:v>
                </c:pt>
                <c:pt idx="4">
                  <c:v>2021/2020</c:v>
                </c:pt>
                <c:pt idx="5">
                  <c:v>2022/2021</c:v>
                </c:pt>
              </c:strCache>
            </c:strRef>
          </c:cat>
          <c:val>
            <c:numRef>
              <c:f>Tirdzn_2023!$D$481:$H$481</c:f>
              <c:numCache>
                <c:formatCode>0%</c:formatCode>
                <c:ptCount val="5"/>
                <c:pt idx="0">
                  <c:v>8.6632861295058206E-2</c:v>
                </c:pt>
                <c:pt idx="1">
                  <c:v>6.6108010577183851E-3</c:v>
                </c:pt>
                <c:pt idx="2">
                  <c:v>-0.15</c:v>
                </c:pt>
                <c:pt idx="3">
                  <c:v>0</c:v>
                </c:pt>
                <c:pt idx="4">
                  <c:v>0.28053271206127439</c:v>
                </c:pt>
              </c:numCache>
            </c:numRef>
          </c:val>
          <c:smooth val="1"/>
          <c:extLst>
            <c:ext xmlns:c16="http://schemas.microsoft.com/office/drawing/2014/chart" uri="{C3380CC4-5D6E-409C-BE32-E72D297353CC}">
              <c16:uniqueId val="{00000007-3F6E-4FD0-A7BB-15148F555C1D}"/>
            </c:ext>
          </c:extLst>
        </c:ser>
        <c:dLbls>
          <c:showLegendKey val="0"/>
          <c:showVal val="0"/>
          <c:showCatName val="0"/>
          <c:showSerName val="0"/>
          <c:showPercent val="0"/>
          <c:showBubbleSize val="0"/>
        </c:dLbls>
        <c:marker val="1"/>
        <c:smooth val="0"/>
        <c:axId val="-1528866016"/>
        <c:axId val="-1528855136"/>
      </c:lineChart>
      <c:catAx>
        <c:axId val="-15288660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28855136"/>
        <c:crosses val="autoZero"/>
        <c:auto val="1"/>
        <c:lblAlgn val="ctr"/>
        <c:lblOffset val="100"/>
        <c:noMultiLvlLbl val="0"/>
      </c:catAx>
      <c:valAx>
        <c:axId val="-1528855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28866016"/>
        <c:crosses val="autoZero"/>
        <c:crossBetween val="between"/>
      </c:valAx>
      <c:spPr>
        <a:noFill/>
        <a:ln>
          <a:noFill/>
        </a:ln>
        <a:effectLst/>
      </c:spPr>
    </c:plotArea>
    <c:legend>
      <c:legendPos val="b"/>
      <c:layout>
        <c:manualLayout>
          <c:xMode val="edge"/>
          <c:yMode val="edge"/>
          <c:x val="6.0342416381625769E-2"/>
          <c:y val="0.8701755266776563"/>
          <c:w val="0.92363003604141314"/>
          <c:h val="0.104278968317058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42961544750464"/>
          <c:y val="3.2690831001496702E-2"/>
          <c:w val="0.86719542851842102"/>
          <c:h val="0.79514787638362716"/>
        </c:manualLayout>
      </c:layout>
      <c:barChart>
        <c:barDir val="col"/>
        <c:grouping val="clustered"/>
        <c:varyColors val="0"/>
        <c:ser>
          <c:idx val="0"/>
          <c:order val="0"/>
          <c:tx>
            <c:strRef>
              <c:f>Tirdzn_2023!$B$472</c:f>
              <c:strCache>
                <c:ptCount val="1"/>
                <c:pt idx="0">
                  <c:v>Imports</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Tirdzn_2023!$C$471:$H$471</c:f>
              <c:numCache>
                <c:formatCode>General</c:formatCode>
                <c:ptCount val="6"/>
                <c:pt idx="0">
                  <c:v>2017</c:v>
                </c:pt>
                <c:pt idx="1">
                  <c:v>2018</c:v>
                </c:pt>
                <c:pt idx="2">
                  <c:v>2019</c:v>
                </c:pt>
                <c:pt idx="3">
                  <c:v>2020</c:v>
                </c:pt>
                <c:pt idx="4">
                  <c:v>2021</c:v>
                </c:pt>
                <c:pt idx="5">
                  <c:v>2022</c:v>
                </c:pt>
              </c:numCache>
            </c:numRef>
          </c:cat>
          <c:val>
            <c:numRef>
              <c:f>Tirdzn_2023!$C$472:$H$472</c:f>
              <c:numCache>
                <c:formatCode>General</c:formatCode>
                <c:ptCount val="6"/>
                <c:pt idx="0">
                  <c:v>100546897</c:v>
                </c:pt>
                <c:pt idx="1">
                  <c:v>102708750</c:v>
                </c:pt>
                <c:pt idx="2">
                  <c:v>120598329</c:v>
                </c:pt>
                <c:pt idx="3">
                  <c:v>125383702</c:v>
                </c:pt>
                <c:pt idx="4">
                  <c:v>139075899</c:v>
                </c:pt>
                <c:pt idx="5">
                  <c:v>175614244</c:v>
                </c:pt>
              </c:numCache>
            </c:numRef>
          </c:val>
          <c:extLst>
            <c:ext xmlns:c16="http://schemas.microsoft.com/office/drawing/2014/chart" uri="{C3380CC4-5D6E-409C-BE32-E72D297353CC}">
              <c16:uniqueId val="{00000000-F7AC-44B6-A34F-6240964E0650}"/>
            </c:ext>
          </c:extLst>
        </c:ser>
        <c:ser>
          <c:idx val="1"/>
          <c:order val="1"/>
          <c:tx>
            <c:strRef>
              <c:f>Tirdzn_2023!$B$473</c:f>
              <c:strCache>
                <c:ptCount val="1"/>
                <c:pt idx="0">
                  <c:v>Eksports</c:v>
                </c:pt>
              </c:strCache>
            </c:strRef>
          </c:tx>
          <c:spPr>
            <a:solidFill>
              <a:schemeClr val="accent2"/>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Tirdzn_2023!$C$471:$H$471</c:f>
              <c:numCache>
                <c:formatCode>General</c:formatCode>
                <c:ptCount val="6"/>
                <c:pt idx="0">
                  <c:v>2017</c:v>
                </c:pt>
                <c:pt idx="1">
                  <c:v>2018</c:v>
                </c:pt>
                <c:pt idx="2">
                  <c:v>2019</c:v>
                </c:pt>
                <c:pt idx="3">
                  <c:v>2020</c:v>
                </c:pt>
                <c:pt idx="4">
                  <c:v>2021</c:v>
                </c:pt>
                <c:pt idx="5">
                  <c:v>2022</c:v>
                </c:pt>
              </c:numCache>
            </c:numRef>
          </c:cat>
          <c:val>
            <c:numRef>
              <c:f>Tirdzn_2023!$C$473:$H$473</c:f>
              <c:numCache>
                <c:formatCode>General</c:formatCode>
                <c:ptCount val="6"/>
                <c:pt idx="0">
                  <c:v>49788132</c:v>
                </c:pt>
                <c:pt idx="1">
                  <c:v>78973217</c:v>
                </c:pt>
                <c:pt idx="2">
                  <c:v>61790119</c:v>
                </c:pt>
                <c:pt idx="3">
                  <c:v>79380167</c:v>
                </c:pt>
                <c:pt idx="4">
                  <c:v>82108677</c:v>
                </c:pt>
                <c:pt idx="5">
                  <c:v>88214441</c:v>
                </c:pt>
              </c:numCache>
            </c:numRef>
          </c:val>
          <c:extLst>
            <c:ext xmlns:c16="http://schemas.microsoft.com/office/drawing/2014/chart" uri="{C3380CC4-5D6E-409C-BE32-E72D297353CC}">
              <c16:uniqueId val="{00000001-F7AC-44B6-A34F-6240964E0650}"/>
            </c:ext>
          </c:extLst>
        </c:ser>
        <c:dLbls>
          <c:showLegendKey val="0"/>
          <c:showVal val="0"/>
          <c:showCatName val="0"/>
          <c:showSerName val="0"/>
          <c:showPercent val="0"/>
          <c:showBubbleSize val="0"/>
        </c:dLbls>
        <c:gapWidth val="219"/>
        <c:overlap val="-27"/>
        <c:axId val="-1487466864"/>
        <c:axId val="-1487466320"/>
      </c:barChart>
      <c:lineChart>
        <c:grouping val="standard"/>
        <c:varyColors val="0"/>
        <c:ser>
          <c:idx val="2"/>
          <c:order val="2"/>
          <c:tx>
            <c:strRef>
              <c:f>Tirdzn_2023!$B$474</c:f>
              <c:strCache>
                <c:ptCount val="1"/>
                <c:pt idx="0">
                  <c:v>Dārzeņu, kartupeļu, augļu un ogu izlaide Latvijā</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3"/>
              <c:layout>
                <c:manualLayout>
                  <c:x val="-3.7882537162865666E-2"/>
                  <c:y val="3.56724673838712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AC-44B6-A34F-6240964E0650}"/>
                </c:ext>
              </c:extLst>
            </c:dLbl>
            <c:numFmt formatCode="#,##0.0" sourceLinked="0"/>
            <c:spPr>
              <a:noFill/>
              <a:ln>
                <a:solidFill>
                  <a:schemeClr val="bg1">
                    <a:lumMod val="50000"/>
                  </a:schemeClr>
                </a:solid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Tirdzn_2023!$C$471:$H$471</c:f>
              <c:numCache>
                <c:formatCode>General</c:formatCode>
                <c:ptCount val="6"/>
                <c:pt idx="0">
                  <c:v>2017</c:v>
                </c:pt>
                <c:pt idx="1">
                  <c:v>2018</c:v>
                </c:pt>
                <c:pt idx="2">
                  <c:v>2019</c:v>
                </c:pt>
                <c:pt idx="3">
                  <c:v>2020</c:v>
                </c:pt>
                <c:pt idx="4">
                  <c:v>2021</c:v>
                </c:pt>
                <c:pt idx="5">
                  <c:v>2022</c:v>
                </c:pt>
              </c:numCache>
            </c:numRef>
          </c:cat>
          <c:val>
            <c:numRef>
              <c:f>Tirdzn_2023!$C$474:$H$474</c:f>
              <c:numCache>
                <c:formatCode>General</c:formatCode>
                <c:ptCount val="6"/>
                <c:pt idx="0">
                  <c:v>110204904.77481529</c:v>
                </c:pt>
                <c:pt idx="1">
                  <c:v>122121780.26914379</c:v>
                </c:pt>
                <c:pt idx="2">
                  <c:v>144200000</c:v>
                </c:pt>
                <c:pt idx="3">
                  <c:v>116800000</c:v>
                </c:pt>
                <c:pt idx="4">
                  <c:v>104100000</c:v>
                </c:pt>
                <c:pt idx="5">
                  <c:v>160652850.45334268</c:v>
                </c:pt>
              </c:numCache>
            </c:numRef>
          </c:val>
          <c:smooth val="1"/>
          <c:extLst>
            <c:ext xmlns:c16="http://schemas.microsoft.com/office/drawing/2014/chart" uri="{C3380CC4-5D6E-409C-BE32-E72D297353CC}">
              <c16:uniqueId val="{00000003-F7AC-44B6-A34F-6240964E0650}"/>
            </c:ext>
          </c:extLst>
        </c:ser>
        <c:dLbls>
          <c:showLegendKey val="0"/>
          <c:showVal val="0"/>
          <c:showCatName val="0"/>
          <c:showSerName val="0"/>
          <c:showPercent val="0"/>
          <c:showBubbleSize val="0"/>
        </c:dLbls>
        <c:marker val="1"/>
        <c:smooth val="0"/>
        <c:axId val="-1487466864"/>
        <c:axId val="-1487466320"/>
      </c:lineChart>
      <c:catAx>
        <c:axId val="-148746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87466320"/>
        <c:crosses val="autoZero"/>
        <c:auto val="1"/>
        <c:lblAlgn val="ctr"/>
        <c:lblOffset val="100"/>
        <c:noMultiLvlLbl val="0"/>
      </c:catAx>
      <c:valAx>
        <c:axId val="-148746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487466864"/>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a:t>milj. EUR</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'ES DV (2)'!$H$40</c:f>
              <c:strCache>
                <c:ptCount val="1"/>
              </c:strCache>
            </c:strRef>
          </c:tx>
          <c:spPr>
            <a:solidFill>
              <a:schemeClr val="accent6">
                <a:lumMod val="60000"/>
                <a:lumOff val="40000"/>
              </a:schemeClr>
            </a:solidFill>
            <a:ln>
              <a:solidFill>
                <a:schemeClr val="accent6">
                  <a:lumMod val="60000"/>
                  <a:lumOff val="40000"/>
                </a:schemeClr>
              </a:solidFill>
            </a:ln>
            <a:effectLst/>
          </c:spPr>
          <c:invertIfNegative val="0"/>
          <c:dPt>
            <c:idx val="2"/>
            <c:invertIfNegative val="0"/>
            <c:bubble3D val="0"/>
            <c:spPr>
              <a:solidFill>
                <a:srgbClr val="FF0000"/>
              </a:solidFill>
              <a:ln>
                <a:solidFill>
                  <a:srgbClr val="FF0000"/>
                </a:solidFill>
              </a:ln>
              <a:effectLst/>
            </c:spPr>
            <c:extLst>
              <c:ext xmlns:c16="http://schemas.microsoft.com/office/drawing/2014/chart" uri="{C3380CC4-5D6E-409C-BE32-E72D297353CC}">
                <c16:uniqueId val="{00000001-C258-45D5-9601-7AED2A88D2FC}"/>
              </c:ext>
            </c:extLst>
          </c:dPt>
          <c:dPt>
            <c:idx val="11"/>
            <c:invertIfNegative val="0"/>
            <c:bubble3D val="0"/>
            <c:spPr>
              <a:solidFill>
                <a:srgbClr val="FFC000"/>
              </a:solidFill>
              <a:ln>
                <a:solidFill>
                  <a:srgbClr val="FFC000"/>
                </a:solidFill>
              </a:ln>
              <a:effectLst/>
            </c:spPr>
            <c:extLst>
              <c:ext xmlns:c16="http://schemas.microsoft.com/office/drawing/2014/chart" uri="{C3380CC4-5D6E-409C-BE32-E72D297353CC}">
                <c16:uniqueId val="{00000003-C258-45D5-9601-7AED2A88D2FC}"/>
              </c:ext>
            </c:extLst>
          </c:dPt>
          <c:dPt>
            <c:idx val="14"/>
            <c:invertIfNegative val="0"/>
            <c:bubble3D val="0"/>
            <c:spPr>
              <a:solidFill>
                <a:schemeClr val="accent5"/>
              </a:solidFill>
              <a:ln>
                <a:solidFill>
                  <a:schemeClr val="accent5"/>
                </a:solidFill>
              </a:ln>
              <a:effectLst/>
            </c:spPr>
            <c:extLst>
              <c:ext xmlns:c16="http://schemas.microsoft.com/office/drawing/2014/chart" uri="{C3380CC4-5D6E-409C-BE32-E72D297353CC}">
                <c16:uniqueId val="{00000005-C258-45D5-9601-7AED2A88D2FC}"/>
              </c:ext>
            </c:extLst>
          </c:dPt>
          <c:dPt>
            <c:idx val="25"/>
            <c:invertIfNegative val="0"/>
            <c:bubble3D val="0"/>
            <c:spPr>
              <a:solidFill>
                <a:schemeClr val="accent3">
                  <a:lumMod val="75000"/>
                </a:schemeClr>
              </a:solidFill>
              <a:ln>
                <a:solidFill>
                  <a:schemeClr val="accent3">
                    <a:lumMod val="75000"/>
                  </a:schemeClr>
                </a:solidFill>
              </a:ln>
              <a:effectLst/>
            </c:spPr>
            <c:extLst>
              <c:ext xmlns:c16="http://schemas.microsoft.com/office/drawing/2014/chart" uri="{C3380CC4-5D6E-409C-BE32-E72D297353CC}">
                <c16:uniqueId val="{00000007-C258-45D5-9601-7AED2A88D2FC}"/>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 DV (2)'!$G$41:$G$68</c:f>
              <c:strCache>
                <c:ptCount val="28"/>
                <c:pt idx="0">
                  <c:v>Luksemburga</c:v>
                </c:pt>
                <c:pt idx="1">
                  <c:v>Slovēnija</c:v>
                </c:pt>
                <c:pt idx="2">
                  <c:v>Latvija</c:v>
                </c:pt>
                <c:pt idx="3">
                  <c:v>Austrija</c:v>
                </c:pt>
                <c:pt idx="4">
                  <c:v>Grieķija</c:v>
                </c:pt>
                <c:pt idx="5">
                  <c:v>Rumānija</c:v>
                </c:pt>
                <c:pt idx="6">
                  <c:v>Slovākija</c:v>
                </c:pt>
                <c:pt idx="7">
                  <c:v>Vācija</c:v>
                </c:pt>
                <c:pt idx="8">
                  <c:v>Somija</c:v>
                </c:pt>
                <c:pt idx="9">
                  <c:v>Polija</c:v>
                </c:pt>
                <c:pt idx="10">
                  <c:v>Dānija</c:v>
                </c:pt>
                <c:pt idx="11">
                  <c:v>Lietuva</c:v>
                </c:pt>
                <c:pt idx="12">
                  <c:v>Čehija</c:v>
                </c:pt>
                <c:pt idx="13">
                  <c:v>Itālija</c:v>
                </c:pt>
                <c:pt idx="14">
                  <c:v>ES-27</c:v>
                </c:pt>
                <c:pt idx="15">
                  <c:v>Portugāle</c:v>
                </c:pt>
                <c:pt idx="16">
                  <c:v>Francija</c:v>
                </c:pt>
                <c:pt idx="17">
                  <c:v>Beļģija</c:v>
                </c:pt>
                <c:pt idx="18">
                  <c:v>Malta</c:v>
                </c:pt>
                <c:pt idx="19">
                  <c:v>Īrija</c:v>
                </c:pt>
                <c:pt idx="20">
                  <c:v>Nīderlande</c:v>
                </c:pt>
                <c:pt idx="21">
                  <c:v>Spānija</c:v>
                </c:pt>
                <c:pt idx="22">
                  <c:v>Bulgārija</c:v>
                </c:pt>
                <c:pt idx="23">
                  <c:v>Zviedrija</c:v>
                </c:pt>
                <c:pt idx="24">
                  <c:v>Ungārija</c:v>
                </c:pt>
                <c:pt idx="25">
                  <c:v>Igaunija</c:v>
                </c:pt>
                <c:pt idx="26">
                  <c:v>Kipra</c:v>
                </c:pt>
                <c:pt idx="27">
                  <c:v>Horvātija</c:v>
                </c:pt>
              </c:strCache>
            </c:strRef>
          </c:cat>
          <c:val>
            <c:numRef>
              <c:f>'ES DV (2)'!$H$41:$H$68</c:f>
              <c:numCache>
                <c:formatCode>0%</c:formatCode>
                <c:ptCount val="28"/>
                <c:pt idx="0">
                  <c:v>2.2096774193548385</c:v>
                </c:pt>
                <c:pt idx="1">
                  <c:v>1.5735747303543914</c:v>
                </c:pt>
                <c:pt idx="2">
                  <c:v>1</c:v>
                </c:pt>
                <c:pt idx="3">
                  <c:v>0.88830406116682359</c:v>
                </c:pt>
                <c:pt idx="4">
                  <c:v>0.6377616434542428</c:v>
                </c:pt>
                <c:pt idx="5">
                  <c:v>0.47183366958081141</c:v>
                </c:pt>
                <c:pt idx="6">
                  <c:v>0.45549193128578858</c:v>
                </c:pt>
                <c:pt idx="7">
                  <c:v>0.45307856184740025</c:v>
                </c:pt>
                <c:pt idx="8">
                  <c:v>0.38070091214594348</c:v>
                </c:pt>
                <c:pt idx="9">
                  <c:v>0.3802971360823979</c:v>
                </c:pt>
                <c:pt idx="10">
                  <c:v>0.34606457058451157</c:v>
                </c:pt>
                <c:pt idx="11">
                  <c:v>0.33729619565217384</c:v>
                </c:pt>
                <c:pt idx="12">
                  <c:v>0.30593348450491309</c:v>
                </c:pt>
                <c:pt idx="13">
                  <c:v>0.27952053831828261</c:v>
                </c:pt>
                <c:pt idx="14">
                  <c:v>0.26342984662876834</c:v>
                </c:pt>
                <c:pt idx="15">
                  <c:v>0.26139723210077559</c:v>
                </c:pt>
                <c:pt idx="16">
                  <c:v>0.24265568557226214</c:v>
                </c:pt>
                <c:pt idx="17">
                  <c:v>0.22302823412275075</c:v>
                </c:pt>
                <c:pt idx="18">
                  <c:v>0.20858895705521485</c:v>
                </c:pt>
                <c:pt idx="19">
                  <c:v>0.1547225284821756</c:v>
                </c:pt>
                <c:pt idx="20">
                  <c:v>6.3486316420295452E-2</c:v>
                </c:pt>
                <c:pt idx="21">
                  <c:v>1.8224502270080434E-2</c:v>
                </c:pt>
                <c:pt idx="22">
                  <c:v>1.1381199943796494E-2</c:v>
                </c:pt>
                <c:pt idx="23">
                  <c:v>-3.1539061629332399E-2</c:v>
                </c:pt>
                <c:pt idx="24">
                  <c:v>-9.0822002472187968E-2</c:v>
                </c:pt>
                <c:pt idx="25">
                  <c:v>-9.1578947368420982E-2</c:v>
                </c:pt>
                <c:pt idx="26">
                  <c:v>-0.2169728783902013</c:v>
                </c:pt>
                <c:pt idx="27">
                  <c:v>-0.27350157728706614</c:v>
                </c:pt>
              </c:numCache>
            </c:numRef>
          </c:val>
          <c:extLst>
            <c:ext xmlns:c16="http://schemas.microsoft.com/office/drawing/2014/chart" uri="{C3380CC4-5D6E-409C-BE32-E72D297353CC}">
              <c16:uniqueId val="{00000008-C258-45D5-9601-7AED2A88D2FC}"/>
            </c:ext>
          </c:extLst>
        </c:ser>
        <c:dLbls>
          <c:showLegendKey val="0"/>
          <c:showVal val="0"/>
          <c:showCatName val="0"/>
          <c:showSerName val="0"/>
          <c:showPercent val="0"/>
          <c:showBubbleSize val="0"/>
        </c:dLbls>
        <c:gapWidth val="219"/>
        <c:overlap val="-27"/>
        <c:axId val="-1487465776"/>
        <c:axId val="-1487465232"/>
      </c:barChart>
      <c:catAx>
        <c:axId val="-14874657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1487465232"/>
        <c:crosses val="autoZero"/>
        <c:auto val="1"/>
        <c:lblAlgn val="ctr"/>
        <c:lblOffset val="100"/>
        <c:noMultiLvlLbl val="0"/>
      </c:catAx>
      <c:valAx>
        <c:axId val="-148746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65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60000"/>
                <a:lumOff val="40000"/>
              </a:schemeClr>
            </a:solidFill>
            <a:ln>
              <a:solidFill>
                <a:schemeClr val="accent6"/>
              </a:solidFill>
            </a:ln>
            <a:effectLst/>
          </c:spPr>
          <c:invertIfNegative val="0"/>
          <c:dPt>
            <c:idx val="1"/>
            <c:invertIfNegative val="0"/>
            <c:bubble3D val="0"/>
            <c:spPr>
              <a:solidFill>
                <a:srgbClr val="FFC000"/>
              </a:solidFill>
              <a:ln>
                <a:solidFill>
                  <a:srgbClr val="FFC000"/>
                </a:solidFill>
              </a:ln>
              <a:effectLst/>
            </c:spPr>
            <c:extLst>
              <c:ext xmlns:c16="http://schemas.microsoft.com/office/drawing/2014/chart" uri="{C3380CC4-5D6E-409C-BE32-E72D297353CC}">
                <c16:uniqueId val="{00000001-B56F-45F8-9B67-243B4927D655}"/>
              </c:ext>
            </c:extLst>
          </c:dPt>
          <c:dPt>
            <c:idx val="15"/>
            <c:invertIfNegative val="0"/>
            <c:bubble3D val="0"/>
            <c:spPr>
              <a:solidFill>
                <a:srgbClr val="FF0000"/>
              </a:solidFill>
              <a:ln>
                <a:solidFill>
                  <a:srgbClr val="FF0000"/>
                </a:solidFill>
              </a:ln>
              <a:effectLst/>
            </c:spPr>
            <c:extLst>
              <c:ext xmlns:c16="http://schemas.microsoft.com/office/drawing/2014/chart" uri="{C3380CC4-5D6E-409C-BE32-E72D297353CC}">
                <c16:uniqueId val="{00000003-B56F-45F8-9B67-243B4927D655}"/>
              </c:ext>
            </c:extLst>
          </c:dPt>
          <c:dPt>
            <c:idx val="16"/>
            <c:invertIfNegative val="0"/>
            <c:bubble3D val="0"/>
            <c:spPr>
              <a:solidFill>
                <a:schemeClr val="accent5"/>
              </a:solidFill>
              <a:ln>
                <a:solidFill>
                  <a:schemeClr val="accent5"/>
                </a:solidFill>
              </a:ln>
              <a:effectLst/>
            </c:spPr>
            <c:extLst>
              <c:ext xmlns:c16="http://schemas.microsoft.com/office/drawing/2014/chart" uri="{C3380CC4-5D6E-409C-BE32-E72D297353CC}">
                <c16:uniqueId val="{00000005-B56F-45F8-9B67-243B4927D655}"/>
              </c:ext>
            </c:extLst>
          </c:dPt>
          <c:dPt>
            <c:idx val="21"/>
            <c:invertIfNegative val="0"/>
            <c:bubble3D val="0"/>
            <c:spPr>
              <a:solidFill>
                <a:schemeClr val="accent3">
                  <a:lumMod val="75000"/>
                </a:schemeClr>
              </a:solidFill>
              <a:ln>
                <a:solidFill>
                  <a:schemeClr val="accent3">
                    <a:lumMod val="75000"/>
                  </a:schemeClr>
                </a:solidFill>
              </a:ln>
              <a:effectLst/>
            </c:spPr>
            <c:extLst>
              <c:ext xmlns:c16="http://schemas.microsoft.com/office/drawing/2014/chart" uri="{C3380CC4-5D6E-409C-BE32-E72D297353CC}">
                <c16:uniqueId val="{00000007-B56F-45F8-9B67-243B4927D655}"/>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 DV (2)'!$G$6:$G$33</c:f>
              <c:strCache>
                <c:ptCount val="28"/>
                <c:pt idx="0">
                  <c:v>Luksemburga</c:v>
                </c:pt>
                <c:pt idx="1">
                  <c:v>Lietuva</c:v>
                </c:pt>
                <c:pt idx="2">
                  <c:v>Čehija</c:v>
                </c:pt>
                <c:pt idx="3">
                  <c:v>Portugāle</c:v>
                </c:pt>
                <c:pt idx="4">
                  <c:v>Austrija</c:v>
                </c:pt>
                <c:pt idx="5">
                  <c:v>Horvātija</c:v>
                </c:pt>
                <c:pt idx="6">
                  <c:v>Somija</c:v>
                </c:pt>
                <c:pt idx="7">
                  <c:v>Beļģija</c:v>
                </c:pt>
                <c:pt idx="8">
                  <c:v>Vācija</c:v>
                </c:pt>
                <c:pt idx="9">
                  <c:v>Zviedrija</c:v>
                </c:pt>
                <c:pt idx="10">
                  <c:v>Itālija</c:v>
                </c:pt>
                <c:pt idx="11">
                  <c:v>Nīderlande</c:v>
                </c:pt>
                <c:pt idx="12">
                  <c:v>Rumānija</c:v>
                </c:pt>
                <c:pt idx="13">
                  <c:v>Slovēnija</c:v>
                </c:pt>
                <c:pt idx="14">
                  <c:v>Grieķija</c:v>
                </c:pt>
                <c:pt idx="15">
                  <c:v>Latvija</c:v>
                </c:pt>
                <c:pt idx="16">
                  <c:v>ES-27</c:v>
                </c:pt>
                <c:pt idx="17">
                  <c:v>Ungārija</c:v>
                </c:pt>
                <c:pt idx="18">
                  <c:v>Kipra</c:v>
                </c:pt>
                <c:pt idx="19">
                  <c:v>Francija</c:v>
                </c:pt>
                <c:pt idx="20">
                  <c:v>Īrija</c:v>
                </c:pt>
                <c:pt idx="21">
                  <c:v>Igaunija</c:v>
                </c:pt>
                <c:pt idx="22">
                  <c:v>Spānija</c:v>
                </c:pt>
                <c:pt idx="23">
                  <c:v>Dānija</c:v>
                </c:pt>
                <c:pt idx="24">
                  <c:v>Malta</c:v>
                </c:pt>
                <c:pt idx="25">
                  <c:v>Bulgārija</c:v>
                </c:pt>
                <c:pt idx="26">
                  <c:v>Polija</c:v>
                </c:pt>
                <c:pt idx="27">
                  <c:v>Slovākija</c:v>
                </c:pt>
              </c:strCache>
            </c:strRef>
          </c:cat>
          <c:val>
            <c:numRef>
              <c:f>'ES DV (2)'!$H$6:$H$33</c:f>
              <c:numCache>
                <c:formatCode>0%</c:formatCode>
                <c:ptCount val="28"/>
                <c:pt idx="0">
                  <c:v>2.1027027027027025</c:v>
                </c:pt>
                <c:pt idx="1">
                  <c:v>1.0688557547327862</c:v>
                </c:pt>
                <c:pt idx="2">
                  <c:v>0.95170968663682265</c:v>
                </c:pt>
                <c:pt idx="3">
                  <c:v>0.69063524270329313</c:v>
                </c:pt>
                <c:pt idx="4">
                  <c:v>0.59477882523567782</c:v>
                </c:pt>
                <c:pt idx="5">
                  <c:v>0.49774636345011269</c:v>
                </c:pt>
                <c:pt idx="6">
                  <c:v>0.47811993517017837</c:v>
                </c:pt>
                <c:pt idx="7">
                  <c:v>0.45848559028393687</c:v>
                </c:pt>
                <c:pt idx="8">
                  <c:v>0.385533780299123</c:v>
                </c:pt>
                <c:pt idx="9">
                  <c:v>0.37942616648456151</c:v>
                </c:pt>
                <c:pt idx="10">
                  <c:v>0.36484610805490991</c:v>
                </c:pt>
                <c:pt idx="11">
                  <c:v>0.35283534567134112</c:v>
                </c:pt>
                <c:pt idx="12">
                  <c:v>0.2670081977042591</c:v>
                </c:pt>
                <c:pt idx="13">
                  <c:v>0.26431078300859268</c:v>
                </c:pt>
                <c:pt idx="14">
                  <c:v>0.26194032918990784</c:v>
                </c:pt>
                <c:pt idx="15">
                  <c:v>0.25</c:v>
                </c:pt>
                <c:pt idx="16">
                  <c:v>0.24158240958211419</c:v>
                </c:pt>
                <c:pt idx="17">
                  <c:v>0.23787396230355551</c:v>
                </c:pt>
                <c:pt idx="18">
                  <c:v>0.19196503614052762</c:v>
                </c:pt>
                <c:pt idx="19">
                  <c:v>0.19168524634134076</c:v>
                </c:pt>
                <c:pt idx="20">
                  <c:v>0.1612422696700222</c:v>
                </c:pt>
                <c:pt idx="21">
                  <c:v>0.1072463768115941</c:v>
                </c:pt>
                <c:pt idx="22">
                  <c:v>7.7013710664372015E-2</c:v>
                </c:pt>
                <c:pt idx="23">
                  <c:v>5.8471661432630384E-2</c:v>
                </c:pt>
                <c:pt idx="24">
                  <c:v>2.2457067371202122E-2</c:v>
                </c:pt>
                <c:pt idx="25">
                  <c:v>-1.7030567685589415E-2</c:v>
                </c:pt>
                <c:pt idx="26">
                  <c:v>-0.13564262227949953</c:v>
                </c:pt>
                <c:pt idx="27">
                  <c:v>-0.30205655526992298</c:v>
                </c:pt>
              </c:numCache>
            </c:numRef>
          </c:val>
          <c:extLst>
            <c:ext xmlns:c16="http://schemas.microsoft.com/office/drawing/2014/chart" uri="{C3380CC4-5D6E-409C-BE32-E72D297353CC}">
              <c16:uniqueId val="{00000008-B56F-45F8-9B67-243B4927D655}"/>
            </c:ext>
          </c:extLst>
        </c:ser>
        <c:dLbls>
          <c:showLegendKey val="0"/>
          <c:showVal val="0"/>
          <c:showCatName val="0"/>
          <c:showSerName val="0"/>
          <c:showPercent val="0"/>
          <c:showBubbleSize val="0"/>
        </c:dLbls>
        <c:gapWidth val="244"/>
        <c:overlap val="-25"/>
        <c:axId val="1306048128"/>
        <c:axId val="1306047712"/>
      </c:barChart>
      <c:catAx>
        <c:axId val="130604812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1306047712"/>
        <c:crosses val="autoZero"/>
        <c:auto val="1"/>
        <c:lblAlgn val="ctr"/>
        <c:lblOffset val="100"/>
        <c:noMultiLvlLbl val="0"/>
      </c:catAx>
      <c:valAx>
        <c:axId val="130604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06048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'ES DV'!$H$79</c:f>
              <c:strCache>
                <c:ptCount val="1"/>
              </c:strCache>
            </c:strRef>
          </c:tx>
          <c:spPr>
            <a:solidFill>
              <a:schemeClr val="accent6">
                <a:lumMod val="60000"/>
                <a:lumOff val="40000"/>
              </a:schemeClr>
            </a:solidFill>
            <a:ln>
              <a:solidFill>
                <a:schemeClr val="accent6">
                  <a:lumMod val="60000"/>
                  <a:lumOff val="40000"/>
                </a:schemeClr>
              </a:solidFill>
            </a:ln>
            <a:effectLst/>
          </c:spPr>
          <c:invertIfNegative val="0"/>
          <c:dPt>
            <c:idx val="0"/>
            <c:invertIfNegative val="0"/>
            <c:bubble3D val="0"/>
            <c:spPr>
              <a:solidFill>
                <a:schemeClr val="bg2">
                  <a:lumMod val="50000"/>
                </a:schemeClr>
              </a:solidFill>
              <a:ln>
                <a:solidFill>
                  <a:schemeClr val="bg2">
                    <a:lumMod val="50000"/>
                  </a:schemeClr>
                </a:solidFill>
              </a:ln>
              <a:effectLst/>
            </c:spPr>
            <c:extLst>
              <c:ext xmlns:c16="http://schemas.microsoft.com/office/drawing/2014/chart" uri="{C3380CC4-5D6E-409C-BE32-E72D297353CC}">
                <c16:uniqueId val="{00000001-4713-445C-8521-E7394C320F29}"/>
              </c:ext>
            </c:extLst>
          </c:dPt>
          <c:dPt>
            <c:idx val="3"/>
            <c:invertIfNegative val="0"/>
            <c:bubble3D val="0"/>
            <c:spPr>
              <a:solidFill>
                <a:srgbClr val="FFC000"/>
              </a:solidFill>
              <a:ln>
                <a:solidFill>
                  <a:srgbClr val="FFC000"/>
                </a:solidFill>
              </a:ln>
              <a:effectLst/>
            </c:spPr>
            <c:extLst>
              <c:ext xmlns:c16="http://schemas.microsoft.com/office/drawing/2014/chart" uri="{C3380CC4-5D6E-409C-BE32-E72D297353CC}">
                <c16:uniqueId val="{00000003-4713-445C-8521-E7394C320F29}"/>
              </c:ext>
            </c:extLst>
          </c:dPt>
          <c:dPt>
            <c:idx val="5"/>
            <c:invertIfNegative val="0"/>
            <c:bubble3D val="0"/>
            <c:spPr>
              <a:solidFill>
                <a:srgbClr val="FF0000"/>
              </a:solidFill>
              <a:ln>
                <a:solidFill>
                  <a:srgbClr val="FF0000"/>
                </a:solidFill>
              </a:ln>
              <a:effectLst/>
            </c:spPr>
            <c:extLst>
              <c:ext xmlns:c16="http://schemas.microsoft.com/office/drawing/2014/chart" uri="{C3380CC4-5D6E-409C-BE32-E72D297353CC}">
                <c16:uniqueId val="{00000005-4713-445C-8521-E7394C320F29}"/>
              </c:ext>
            </c:extLst>
          </c:dPt>
          <c:dPt>
            <c:idx val="9"/>
            <c:invertIfNegative val="0"/>
            <c:bubble3D val="0"/>
            <c:spPr>
              <a:solidFill>
                <a:schemeClr val="accent5"/>
              </a:solidFill>
              <a:ln>
                <a:solidFill>
                  <a:schemeClr val="accent5"/>
                </a:solidFill>
              </a:ln>
              <a:effectLst/>
            </c:spPr>
            <c:extLst>
              <c:ext xmlns:c16="http://schemas.microsoft.com/office/drawing/2014/chart" uri="{C3380CC4-5D6E-409C-BE32-E72D297353CC}">
                <c16:uniqueId val="{00000007-4713-445C-8521-E7394C320F29}"/>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 DV'!$G$119:$G$146</c:f>
              <c:strCache>
                <c:ptCount val="28"/>
                <c:pt idx="0">
                  <c:v>Igaunija</c:v>
                </c:pt>
                <c:pt idx="1">
                  <c:v>Dānija</c:v>
                </c:pt>
                <c:pt idx="2">
                  <c:v>Francija</c:v>
                </c:pt>
                <c:pt idx="3">
                  <c:v>Lietuva</c:v>
                </c:pt>
                <c:pt idx="4">
                  <c:v>Spānija</c:v>
                </c:pt>
                <c:pt idx="5">
                  <c:v>Latvija</c:v>
                </c:pt>
                <c:pt idx="6">
                  <c:v>Vācija</c:v>
                </c:pt>
                <c:pt idx="7">
                  <c:v>Beļģija</c:v>
                </c:pt>
                <c:pt idx="8">
                  <c:v>Slovēnija</c:v>
                </c:pt>
                <c:pt idx="9">
                  <c:v>ES-27</c:v>
                </c:pt>
                <c:pt idx="10">
                  <c:v>Slovākija</c:v>
                </c:pt>
                <c:pt idx="11">
                  <c:v>Īrija</c:v>
                </c:pt>
                <c:pt idx="12">
                  <c:v>Nīderlande</c:v>
                </c:pt>
                <c:pt idx="13">
                  <c:v>Bulgārija</c:v>
                </c:pt>
                <c:pt idx="14">
                  <c:v>Čehija</c:v>
                </c:pt>
                <c:pt idx="15">
                  <c:v>Zviedrija</c:v>
                </c:pt>
                <c:pt idx="16">
                  <c:v>Austrija</c:v>
                </c:pt>
                <c:pt idx="17">
                  <c:v>Luksemburga</c:v>
                </c:pt>
                <c:pt idx="18">
                  <c:v>Polija</c:v>
                </c:pt>
                <c:pt idx="19">
                  <c:v>Itālija</c:v>
                </c:pt>
                <c:pt idx="20">
                  <c:v>Horvātija</c:v>
                </c:pt>
                <c:pt idx="21">
                  <c:v>Grieķija</c:v>
                </c:pt>
                <c:pt idx="22">
                  <c:v>Portugāle</c:v>
                </c:pt>
                <c:pt idx="23">
                  <c:v>Somija</c:v>
                </c:pt>
                <c:pt idx="24">
                  <c:v>Kipra</c:v>
                </c:pt>
                <c:pt idx="25">
                  <c:v>Ungārija</c:v>
                </c:pt>
                <c:pt idx="26">
                  <c:v>Rumānija</c:v>
                </c:pt>
                <c:pt idx="27">
                  <c:v>Malta</c:v>
                </c:pt>
              </c:strCache>
            </c:strRef>
          </c:cat>
          <c:val>
            <c:numRef>
              <c:f>'ES DV'!$H$119:$H$146</c:f>
              <c:numCache>
                <c:formatCode>0%</c:formatCode>
                <c:ptCount val="28"/>
                <c:pt idx="0">
                  <c:v>2.3463476070528966</c:v>
                </c:pt>
                <c:pt idx="1">
                  <c:v>1.1031823506442797</c:v>
                </c:pt>
                <c:pt idx="2">
                  <c:v>1.0077194548444948</c:v>
                </c:pt>
                <c:pt idx="3">
                  <c:v>0.74878197320341022</c:v>
                </c:pt>
                <c:pt idx="4">
                  <c:v>0.72373010194956189</c:v>
                </c:pt>
                <c:pt idx="5">
                  <c:v>0.56663524976437341</c:v>
                </c:pt>
                <c:pt idx="6">
                  <c:v>0.55093963187025374</c:v>
                </c:pt>
                <c:pt idx="7">
                  <c:v>0.51301837775425785</c:v>
                </c:pt>
                <c:pt idx="8">
                  <c:v>0.49217935349322217</c:v>
                </c:pt>
                <c:pt idx="9">
                  <c:v>0.48044791718696556</c:v>
                </c:pt>
                <c:pt idx="10">
                  <c:v>0.40148578811369506</c:v>
                </c:pt>
                <c:pt idx="11">
                  <c:v>0.32758893280632417</c:v>
                </c:pt>
                <c:pt idx="12">
                  <c:v>0.32481490003925351</c:v>
                </c:pt>
                <c:pt idx="13">
                  <c:v>0.26179718875502012</c:v>
                </c:pt>
                <c:pt idx="14">
                  <c:v>0.25362453531598517</c:v>
                </c:pt>
                <c:pt idx="15">
                  <c:v>0.25355497696775497</c:v>
                </c:pt>
                <c:pt idx="16">
                  <c:v>0.21595982142857162</c:v>
                </c:pt>
                <c:pt idx="17">
                  <c:v>0.17101449275362324</c:v>
                </c:pt>
                <c:pt idx="18">
                  <c:v>0.1361356147165067</c:v>
                </c:pt>
                <c:pt idx="19">
                  <c:v>0.10557139074498068</c:v>
                </c:pt>
                <c:pt idx="20">
                  <c:v>7.7174929840972961E-2</c:v>
                </c:pt>
                <c:pt idx="21">
                  <c:v>7.4653316202206277E-2</c:v>
                </c:pt>
                <c:pt idx="22">
                  <c:v>6.2633621030960374E-2</c:v>
                </c:pt>
                <c:pt idx="23">
                  <c:v>3.4667380538080605E-2</c:v>
                </c:pt>
                <c:pt idx="24">
                  <c:v>2.836105808562861E-2</c:v>
                </c:pt>
                <c:pt idx="25">
                  <c:v>-6.4873417721518889E-2</c:v>
                </c:pt>
                <c:pt idx="26">
                  <c:v>-0.1379447088148652</c:v>
                </c:pt>
                <c:pt idx="27">
                  <c:v>-0.17045454545454553</c:v>
                </c:pt>
              </c:numCache>
            </c:numRef>
          </c:val>
          <c:extLst>
            <c:ext xmlns:c16="http://schemas.microsoft.com/office/drawing/2014/chart" uri="{C3380CC4-5D6E-409C-BE32-E72D297353CC}">
              <c16:uniqueId val="{00000008-4713-445C-8521-E7394C320F29}"/>
            </c:ext>
          </c:extLst>
        </c:ser>
        <c:dLbls>
          <c:showLegendKey val="0"/>
          <c:showVal val="0"/>
          <c:showCatName val="0"/>
          <c:showSerName val="0"/>
          <c:showPercent val="0"/>
          <c:showBubbleSize val="0"/>
        </c:dLbls>
        <c:gapWidth val="219"/>
        <c:overlap val="-27"/>
        <c:axId val="-1487460336"/>
        <c:axId val="-1540734704"/>
      </c:barChart>
      <c:catAx>
        <c:axId val="-14874603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crossAx val="-1540734704"/>
        <c:crosses val="autoZero"/>
        <c:auto val="1"/>
        <c:lblAlgn val="ctr"/>
        <c:lblOffset val="100"/>
        <c:noMultiLvlLbl val="0"/>
      </c:catAx>
      <c:valAx>
        <c:axId val="-1540734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60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876494961054875E-2"/>
          <c:y val="0.10313075506445672"/>
          <c:w val="0.88744850433140665"/>
          <c:h val="0.63857468130797002"/>
        </c:manualLayout>
      </c:layout>
      <c:barChart>
        <c:barDir val="col"/>
        <c:grouping val="clustered"/>
        <c:varyColors val="0"/>
        <c:ser>
          <c:idx val="0"/>
          <c:order val="0"/>
          <c:tx>
            <c:strRef>
              <c:f>'Deklarētie ieņēmumi'!$B$38:$B$41</c:f>
              <c:strCache>
                <c:ptCount val="1"/>
                <c:pt idx="0">
                  <c:v>Pievienotās vērtības nodokļa likumā norādīto augļu, ogu un dārzeņu audzētāji, kuri norādījuši ar PVN 5% likmi apliekamos darījumus kaut vienā 2022.gada periodā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'Deklarētie ieņēmumi'!$D$8:$G$8</c:f>
              <c:strCache>
                <c:ptCount val="4"/>
                <c:pt idx="0">
                  <c:v>2019.gadā</c:v>
                </c:pt>
                <c:pt idx="1">
                  <c:v>2020.gadā</c:v>
                </c:pt>
                <c:pt idx="2">
                  <c:v>2021.gadā</c:v>
                </c:pt>
                <c:pt idx="3">
                  <c:v>2022.gadā</c:v>
                </c:pt>
              </c:strCache>
            </c:strRef>
          </c:cat>
          <c:val>
            <c:numRef>
              <c:f>'Deklarētie ieņēmumi'!$D$27:$G$27</c:f>
              <c:numCache>
                <c:formatCode>#,##0.00</c:formatCode>
                <c:ptCount val="4"/>
                <c:pt idx="0">
                  <c:v>-2.7517269200000016</c:v>
                </c:pt>
                <c:pt idx="1">
                  <c:v>-2.005263090000005</c:v>
                </c:pt>
                <c:pt idx="2">
                  <c:v>-1.3256240500000009</c:v>
                </c:pt>
                <c:pt idx="3">
                  <c:v>-3.6869507099999899</c:v>
                </c:pt>
              </c:numCache>
            </c:numRef>
          </c:val>
          <c:extLst>
            <c:ext xmlns:c16="http://schemas.microsoft.com/office/drawing/2014/chart" uri="{C3380CC4-5D6E-409C-BE32-E72D297353CC}">
              <c16:uniqueId val="{00000000-5F68-4851-9748-070B97EBC87A}"/>
            </c:ext>
          </c:extLst>
        </c:ser>
        <c:dLbls>
          <c:showLegendKey val="0"/>
          <c:showVal val="0"/>
          <c:showCatName val="0"/>
          <c:showSerName val="0"/>
          <c:showPercent val="0"/>
          <c:showBubbleSize val="0"/>
        </c:dLbls>
        <c:gapWidth val="219"/>
        <c:overlap val="-27"/>
        <c:axId val="-1540726544"/>
        <c:axId val="-1540730896"/>
      </c:barChart>
      <c:catAx>
        <c:axId val="-15407265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40730896"/>
        <c:crosses val="autoZero"/>
        <c:auto val="1"/>
        <c:lblAlgn val="ctr"/>
        <c:lblOffset val="100"/>
        <c:noMultiLvlLbl val="0"/>
      </c:catAx>
      <c:valAx>
        <c:axId val="-1540730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milj.euro</a:t>
                </a:r>
              </a:p>
            </c:rich>
          </c:tx>
          <c:layout>
            <c:manualLayout>
              <c:xMode val="edge"/>
              <c:yMode val="edge"/>
              <c:x val="3.443636466551054E-2"/>
              <c:y val="1.0702861037397926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4072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88723208174713"/>
          <c:y val="9.9290780141843976E-2"/>
          <c:w val="0.85192322767345152"/>
          <c:h val="0.62867577450254597"/>
        </c:manualLayout>
      </c:layout>
      <c:barChart>
        <c:barDir val="col"/>
        <c:grouping val="clustered"/>
        <c:varyColors val="0"/>
        <c:ser>
          <c:idx val="0"/>
          <c:order val="0"/>
          <c:tx>
            <c:strRef>
              <c:f>'Nodokļu ieņēmumi'!$N$31:$N$34</c:f>
              <c:strCache>
                <c:ptCount val="4"/>
                <c:pt idx="0">
                  <c:v>Pievienotās vērtības nodokļa likumā norādīto augļu, ogu un dārzeņu audzētāji, kuri norādījuši ar PVN 5% likmi apliekamos darījumus kaut vienā 2022.gada periodā</c:v>
                </c:pt>
              </c:strCache>
            </c:strRef>
          </c:tx>
          <c:spPr>
            <a:solidFill>
              <a:schemeClr val="accent1"/>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0-4106-455C-A8FD-05B6E9E5BF7A}"/>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'Nodokļu ieņēmumi'!$B$32:$B$36</c:f>
              <c:strCache>
                <c:ptCount val="5"/>
                <c:pt idx="0">
                  <c:v>2018.gads</c:v>
                </c:pt>
                <c:pt idx="1">
                  <c:v>2019.gads</c:v>
                </c:pt>
                <c:pt idx="2">
                  <c:v>2020.gads</c:v>
                </c:pt>
                <c:pt idx="3">
                  <c:v>2021.gads**</c:v>
                </c:pt>
                <c:pt idx="4">
                  <c:v>2022.gads</c:v>
                </c:pt>
              </c:strCache>
            </c:strRef>
          </c:cat>
          <c:val>
            <c:numRef>
              <c:f>'Nodokļu ieņēmumi'!$J$32:$J$36</c:f>
              <c:numCache>
                <c:formatCode>#,##0.00</c:formatCode>
                <c:ptCount val="5"/>
                <c:pt idx="0">
                  <c:v>27180.61839999989</c:v>
                </c:pt>
                <c:pt idx="1">
                  <c:v>30106.41302</c:v>
                </c:pt>
                <c:pt idx="2">
                  <c:v>31496.73041</c:v>
                </c:pt>
                <c:pt idx="3">
                  <c:v>0</c:v>
                </c:pt>
                <c:pt idx="4">
                  <c:v>35763.794610000004</c:v>
                </c:pt>
              </c:numCache>
            </c:numRef>
          </c:val>
          <c:extLst>
            <c:ext xmlns:c16="http://schemas.microsoft.com/office/drawing/2014/chart" uri="{C3380CC4-5D6E-409C-BE32-E72D297353CC}">
              <c16:uniqueId val="{00000001-4106-455C-A8FD-05B6E9E5BF7A}"/>
            </c:ext>
          </c:extLst>
        </c:ser>
        <c:dLbls>
          <c:showLegendKey val="0"/>
          <c:showVal val="0"/>
          <c:showCatName val="0"/>
          <c:showSerName val="0"/>
          <c:showPercent val="0"/>
          <c:showBubbleSize val="0"/>
        </c:dLbls>
        <c:gapWidth val="219"/>
        <c:overlap val="-27"/>
        <c:axId val="-1540721648"/>
        <c:axId val="-1540725456"/>
      </c:barChart>
      <c:catAx>
        <c:axId val="-154072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40725456"/>
        <c:crosses val="autoZero"/>
        <c:auto val="1"/>
        <c:lblAlgn val="ctr"/>
        <c:lblOffset val="100"/>
        <c:noMultiLvlLbl val="0"/>
      </c:catAx>
      <c:valAx>
        <c:axId val="-1540725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a:t>tūkst</a:t>
                </a:r>
                <a:r>
                  <a:rPr lang="en-US"/>
                  <a:t>. euro</a:t>
                </a:r>
              </a:p>
            </c:rich>
          </c:tx>
          <c:layout>
            <c:manualLayout>
              <c:xMode val="edge"/>
              <c:yMode val="edge"/>
              <c:x val="2.0915030957539524E-2"/>
              <c:y val="1.7094711565309673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40721648"/>
        <c:crosses val="autoZero"/>
        <c:crossBetween val="between"/>
      </c:valAx>
      <c:spPr>
        <a:noFill/>
        <a:ln>
          <a:noFill/>
        </a:ln>
        <a:effectLst/>
      </c:spPr>
    </c:plotArea>
    <c:legend>
      <c:legendPos val="b"/>
      <c:layout>
        <c:manualLayout>
          <c:xMode val="edge"/>
          <c:yMode val="edge"/>
          <c:x val="6.0580741360818272E-2"/>
          <c:y val="0.79124720521045977"/>
          <c:w val="0.89999996706294338"/>
          <c:h val="8.20406096688024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777498075115206E-2"/>
          <c:y val="8.8032535537018272E-2"/>
          <c:w val="0.90112333411746526"/>
          <c:h val="0.58981004686710126"/>
        </c:manualLayout>
      </c:layout>
      <c:barChart>
        <c:barDir val="col"/>
        <c:grouping val="clustered"/>
        <c:varyColors val="0"/>
        <c:ser>
          <c:idx val="0"/>
          <c:order val="0"/>
          <c:tx>
            <c:strRef>
              <c:f>'Deklarācijas(2018-2023)'!$A$31</c:f>
              <c:strCache>
                <c:ptCount val="1"/>
                <c:pt idx="0">
                  <c:v>Ar PVN samazināto 5% likmi apliekamo darījumu (svaigu augļu, ogu un dārzeņu) vērtības gada pārmaiņas, %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'Deklarācijas(2018-2023)'!$C$26:$F$26</c:f>
              <c:strCache>
                <c:ptCount val="4"/>
                <c:pt idx="0">
                  <c:v>2019./2018.gadu</c:v>
                </c:pt>
                <c:pt idx="1">
                  <c:v>2020./2019.gadu</c:v>
                </c:pt>
                <c:pt idx="2">
                  <c:v>2021./2020.gadu</c:v>
                </c:pt>
                <c:pt idx="3">
                  <c:v>2022./2021.gadu</c:v>
                </c:pt>
              </c:strCache>
            </c:strRef>
          </c:cat>
          <c:val>
            <c:numRef>
              <c:f>'Deklarācijas(2018-2023)'!$C$31:$F$31</c:f>
              <c:numCache>
                <c:formatCode>#,##0</c:formatCode>
                <c:ptCount val="4"/>
                <c:pt idx="0">
                  <c:v>15.694875812856466</c:v>
                </c:pt>
                <c:pt idx="1">
                  <c:v>1.7097982536967464</c:v>
                </c:pt>
                <c:pt idx="2">
                  <c:v>10.34714639446743</c:v>
                </c:pt>
                <c:pt idx="3">
                  <c:v>17.510467021695746</c:v>
                </c:pt>
              </c:numCache>
            </c:numRef>
          </c:val>
          <c:extLst>
            <c:ext xmlns:c16="http://schemas.microsoft.com/office/drawing/2014/chart" uri="{C3380CC4-5D6E-409C-BE32-E72D297353CC}">
              <c16:uniqueId val="{00000000-F111-4702-B891-78B4072DD879}"/>
            </c:ext>
          </c:extLst>
        </c:ser>
        <c:ser>
          <c:idx val="1"/>
          <c:order val="1"/>
          <c:tx>
            <c:strRef>
              <c:f>'Deklarācijas(2018-2023)'!$A$34</c:f>
              <c:strCache>
                <c:ptCount val="1"/>
                <c:pt idx="0">
                  <c:v>Kopējā darījumu vērtība neieskaitot ar PVN samazināto 5% apliekamos darījumu  (svaigu augļu, ogu un dārzeņu), vērtības gada pārmaiņas, %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'Deklarācijas(2018-2023)'!$C$26:$F$26</c:f>
              <c:strCache>
                <c:ptCount val="4"/>
                <c:pt idx="0">
                  <c:v>2019./2018.gadu</c:v>
                </c:pt>
                <c:pt idx="1">
                  <c:v>2020./2019.gadu</c:v>
                </c:pt>
                <c:pt idx="2">
                  <c:v>2021./2020.gadu</c:v>
                </c:pt>
                <c:pt idx="3">
                  <c:v>2022./2021.gadu</c:v>
                </c:pt>
              </c:strCache>
            </c:strRef>
          </c:cat>
          <c:val>
            <c:numRef>
              <c:f>'Deklarācijas(2018-2023)'!$C$34:$F$34</c:f>
              <c:numCache>
                <c:formatCode>#,##0</c:formatCode>
                <c:ptCount val="4"/>
                <c:pt idx="0">
                  <c:v>2.5879979229803212</c:v>
                </c:pt>
                <c:pt idx="1">
                  <c:v>-6.1212458595601476</c:v>
                </c:pt>
                <c:pt idx="2">
                  <c:v>18.956048793402402</c:v>
                </c:pt>
                <c:pt idx="3">
                  <c:v>19.785621523624826</c:v>
                </c:pt>
              </c:numCache>
            </c:numRef>
          </c:val>
          <c:extLst>
            <c:ext xmlns:c16="http://schemas.microsoft.com/office/drawing/2014/chart" uri="{C3380CC4-5D6E-409C-BE32-E72D297353CC}">
              <c16:uniqueId val="{00000001-F111-4702-B891-78B4072DD879}"/>
            </c:ext>
          </c:extLst>
        </c:ser>
        <c:dLbls>
          <c:showLegendKey val="0"/>
          <c:showVal val="0"/>
          <c:showCatName val="0"/>
          <c:showSerName val="0"/>
          <c:showPercent val="0"/>
          <c:showBubbleSize val="0"/>
        </c:dLbls>
        <c:gapWidth val="150"/>
        <c:axId val="-1528870368"/>
        <c:axId val="-1528869824"/>
      </c:barChart>
      <c:lineChart>
        <c:grouping val="standard"/>
        <c:varyColors val="0"/>
        <c:ser>
          <c:idx val="2"/>
          <c:order val="2"/>
          <c:tx>
            <c:strRef>
              <c:f>'Deklarācijas(2018-2023)'!$A$35</c:f>
              <c:strCache>
                <c:ptCount val="1"/>
                <c:pt idx="0">
                  <c:v>Starpība, procentpunkti</c:v>
                </c:pt>
              </c:strCache>
            </c:strRef>
          </c:tx>
          <c:spPr>
            <a:ln w="28575" cap="rnd">
              <a:solidFill>
                <a:schemeClr val="accent6">
                  <a:lumMod val="60000"/>
                  <a:lumOff val="40000"/>
                </a:schemeClr>
              </a:solidFill>
              <a:round/>
            </a:ln>
            <a:effectLst/>
          </c:spPr>
          <c:marker>
            <c:symbol val="circle"/>
            <c:size val="5"/>
            <c:spPr>
              <a:solidFill>
                <a:schemeClr val="accent6">
                  <a:lumMod val="60000"/>
                  <a:lumOff val="40000"/>
                </a:schemeClr>
              </a:solidFill>
              <a:ln w="9525">
                <a:solidFill>
                  <a:schemeClr val="accent6">
                    <a:lumMod val="60000"/>
                    <a:lumOff val="40000"/>
                  </a:schemeClr>
                </a:solidFill>
              </a:ln>
              <a:effectLst/>
            </c:spPr>
          </c:marker>
          <c:dLbls>
            <c:dLbl>
              <c:idx val="0"/>
              <c:layout>
                <c:manualLayout>
                  <c:x val="1.2393490813648294E-3"/>
                  <c:y val="-2.9702970297029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11-4702-B891-78B4072DD879}"/>
                </c:ext>
              </c:extLst>
            </c:dLbl>
            <c:dLbl>
              <c:idx val="1"/>
              <c:layout>
                <c:manualLayout>
                  <c:x val="-6.4000000000000003E-3"/>
                  <c:y val="-2.9702970297029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11-4702-B891-78B4072DD879}"/>
                </c:ext>
              </c:extLst>
            </c:dLbl>
            <c:dLbl>
              <c:idx val="2"/>
              <c:layout>
                <c:manualLayout>
                  <c:x val="-8.5333333333333337E-3"/>
                  <c:y val="-2.6402640264026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11-4702-B891-78B4072DD879}"/>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'Deklarācijas(2018-2023)'!$C$35:$F$35</c:f>
              <c:numCache>
                <c:formatCode>0</c:formatCode>
                <c:ptCount val="4"/>
                <c:pt idx="0">
                  <c:v>13.106877889876145</c:v>
                </c:pt>
                <c:pt idx="1">
                  <c:v>7.831044113256894</c:v>
                </c:pt>
                <c:pt idx="2">
                  <c:v>-8.6089023989349727</c:v>
                </c:pt>
                <c:pt idx="3">
                  <c:v>-2.2751545019290802</c:v>
                </c:pt>
              </c:numCache>
            </c:numRef>
          </c:val>
          <c:smooth val="1"/>
          <c:extLst>
            <c:ext xmlns:c16="http://schemas.microsoft.com/office/drawing/2014/chart" uri="{C3380CC4-5D6E-409C-BE32-E72D297353CC}">
              <c16:uniqueId val="{00000005-F111-4702-B891-78B4072DD879}"/>
            </c:ext>
          </c:extLst>
        </c:ser>
        <c:dLbls>
          <c:showLegendKey val="0"/>
          <c:showVal val="0"/>
          <c:showCatName val="0"/>
          <c:showSerName val="0"/>
          <c:showPercent val="0"/>
          <c:showBubbleSize val="0"/>
        </c:dLbls>
        <c:marker val="1"/>
        <c:smooth val="0"/>
        <c:axId val="-1528870368"/>
        <c:axId val="-1528869824"/>
      </c:lineChart>
      <c:catAx>
        <c:axId val="-15288703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528869824"/>
        <c:crosses val="autoZero"/>
        <c:auto val="1"/>
        <c:lblAlgn val="ctr"/>
        <c:lblOffset val="100"/>
        <c:noMultiLvlLbl val="0"/>
      </c:catAx>
      <c:valAx>
        <c:axId val="-1528869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a:t>
                </a:r>
              </a:p>
            </c:rich>
          </c:tx>
          <c:layout>
            <c:manualLayout>
              <c:xMode val="edge"/>
              <c:yMode val="edge"/>
              <c:x val="2.7467823825516463E-2"/>
              <c:y val="3.3784536953348162E-3"/>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528870368"/>
        <c:crosses val="autoZero"/>
        <c:crossBetween val="between"/>
      </c:valAx>
      <c:spPr>
        <a:noFill/>
        <a:ln>
          <a:noFill/>
        </a:ln>
        <a:effectLst/>
      </c:spPr>
    </c:plotArea>
    <c:legend>
      <c:legendPos val="b"/>
      <c:layout>
        <c:manualLayout>
          <c:xMode val="edge"/>
          <c:yMode val="edge"/>
          <c:x val="1.5983370078740154E-2"/>
          <c:y val="0.76000445537343742"/>
          <c:w val="0.97259741732283445"/>
          <c:h val="0.229063029254096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033123643140685E-2"/>
          <c:y val="7.2954433718580028E-2"/>
          <c:w val="0.90817687335003594"/>
          <c:h val="0.65651680804517865"/>
        </c:manualLayout>
      </c:layout>
      <c:barChart>
        <c:barDir val="col"/>
        <c:grouping val="clustered"/>
        <c:varyColors val="0"/>
        <c:ser>
          <c:idx val="0"/>
          <c:order val="0"/>
          <c:tx>
            <c:strRef>
              <c:f>'Vidējās algas'!$A$21</c:f>
              <c:strCache>
                <c:ptCount val="1"/>
                <c:pt idx="0">
                  <c:v>Visi nodokļu maksātāji valstī</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'Vidējās algas'!$B$20:$G$20</c:f>
              <c:strCache>
                <c:ptCount val="6"/>
                <c:pt idx="0">
                  <c:v>2017.gads</c:v>
                </c:pt>
                <c:pt idx="1">
                  <c:v>2018.gads</c:v>
                </c:pt>
                <c:pt idx="2">
                  <c:v>2019.gads</c:v>
                </c:pt>
                <c:pt idx="3">
                  <c:v>2020.gads</c:v>
                </c:pt>
                <c:pt idx="4">
                  <c:v>2021.gads</c:v>
                </c:pt>
                <c:pt idx="5">
                  <c:v>2022.gads</c:v>
                </c:pt>
              </c:strCache>
            </c:strRef>
          </c:cat>
          <c:val>
            <c:numRef>
              <c:f>'Vidējās algas'!$B$21:$G$21</c:f>
              <c:numCache>
                <c:formatCode>#,##0</c:formatCode>
                <c:ptCount val="6"/>
                <c:pt idx="0">
                  <c:v>794.0545403561257</c:v>
                </c:pt>
                <c:pt idx="1">
                  <c:v>863.66141708847738</c:v>
                </c:pt>
                <c:pt idx="2">
                  <c:v>928.11253834988884</c:v>
                </c:pt>
                <c:pt idx="3">
                  <c:v>983.87923419720266</c:v>
                </c:pt>
                <c:pt idx="4">
                  <c:v>1087.1218328442367</c:v>
                </c:pt>
                <c:pt idx="5">
                  <c:v>1194.6372168117377</c:v>
                </c:pt>
              </c:numCache>
            </c:numRef>
          </c:val>
          <c:extLst>
            <c:ext xmlns:c16="http://schemas.microsoft.com/office/drawing/2014/chart" uri="{C3380CC4-5D6E-409C-BE32-E72D297353CC}">
              <c16:uniqueId val="{00000000-832F-4A8C-A570-1A7913F80319}"/>
            </c:ext>
          </c:extLst>
        </c:ser>
        <c:ser>
          <c:idx val="1"/>
          <c:order val="1"/>
          <c:tx>
            <c:strRef>
              <c:f>'Vidējās algas'!$A$24</c:f>
              <c:strCache>
                <c:ptCount val="1"/>
                <c:pt idx="0">
                  <c:v>Nodokļu maksātāji, kuru pamatdarbības veids ir augkopība un lopkopība, medniecība un saistītas palīgdarbības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'Vidējās algas'!$B$20:$G$20</c:f>
              <c:strCache>
                <c:ptCount val="6"/>
                <c:pt idx="0">
                  <c:v>2017.gads</c:v>
                </c:pt>
                <c:pt idx="1">
                  <c:v>2018.gads</c:v>
                </c:pt>
                <c:pt idx="2">
                  <c:v>2019.gads</c:v>
                </c:pt>
                <c:pt idx="3">
                  <c:v>2020.gads</c:v>
                </c:pt>
                <c:pt idx="4">
                  <c:v>2021.gads</c:v>
                </c:pt>
                <c:pt idx="5">
                  <c:v>2022.gads</c:v>
                </c:pt>
              </c:strCache>
            </c:strRef>
          </c:cat>
          <c:val>
            <c:numRef>
              <c:f>'Vidējās algas'!$B$24:$G$24</c:f>
              <c:numCache>
                <c:formatCode>#,##0</c:formatCode>
                <c:ptCount val="6"/>
                <c:pt idx="0">
                  <c:v>558.85771060154968</c:v>
                </c:pt>
                <c:pt idx="1">
                  <c:v>624.67061631382535</c:v>
                </c:pt>
                <c:pt idx="2">
                  <c:v>663.75470461259317</c:v>
                </c:pt>
                <c:pt idx="3">
                  <c:v>707.08599101806976</c:v>
                </c:pt>
                <c:pt idx="4">
                  <c:v>773.21909842520995</c:v>
                </c:pt>
                <c:pt idx="5">
                  <c:v>879.4173165823214</c:v>
                </c:pt>
              </c:numCache>
            </c:numRef>
          </c:val>
          <c:extLst>
            <c:ext xmlns:c16="http://schemas.microsoft.com/office/drawing/2014/chart" uri="{C3380CC4-5D6E-409C-BE32-E72D297353CC}">
              <c16:uniqueId val="{00000001-832F-4A8C-A570-1A7913F80319}"/>
            </c:ext>
          </c:extLst>
        </c:ser>
        <c:ser>
          <c:idx val="2"/>
          <c:order val="2"/>
          <c:tx>
            <c:strRef>
              <c:f>'Vidējās algas'!$A$31</c:f>
              <c:strCache>
                <c:ptCount val="1"/>
                <c:pt idx="0">
                  <c:v>Augļu, ogu un dārzeņu audzētāju, kuri audzē Pievienotās vērtības nodkļa likumā noteiktos svaigos augļus, ogas un dārzeņus un kuri norādījuši ar PVN 5% likmi apliekamos darījumus kaut vienā 2022.gada periodā, vidējais atalgojums uzvienu nodarbināto, euro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'Vidējās algas'!$B$20:$G$20</c:f>
              <c:strCache>
                <c:ptCount val="6"/>
                <c:pt idx="0">
                  <c:v>2017.gads</c:v>
                </c:pt>
                <c:pt idx="1">
                  <c:v>2018.gads</c:v>
                </c:pt>
                <c:pt idx="2">
                  <c:v>2019.gads</c:v>
                </c:pt>
                <c:pt idx="3">
                  <c:v>2020.gads</c:v>
                </c:pt>
                <c:pt idx="4">
                  <c:v>2021.gads</c:v>
                </c:pt>
                <c:pt idx="5">
                  <c:v>2022.gads</c:v>
                </c:pt>
              </c:strCache>
            </c:strRef>
          </c:cat>
          <c:val>
            <c:numRef>
              <c:f>'Vidējās algas'!$B$31:$G$31</c:f>
              <c:numCache>
                <c:formatCode>#,##0</c:formatCode>
                <c:ptCount val="6"/>
                <c:pt idx="0">
                  <c:v>606</c:v>
                </c:pt>
                <c:pt idx="1">
                  <c:v>726.28599527789004</c:v>
                </c:pt>
                <c:pt idx="2">
                  <c:v>789.05300700069472</c:v>
                </c:pt>
                <c:pt idx="3">
                  <c:v>825.53923445820476</c:v>
                </c:pt>
                <c:pt idx="4">
                  <c:v>903.19822896191772</c:v>
                </c:pt>
                <c:pt idx="5">
                  <c:v>942.72627170512305</c:v>
                </c:pt>
              </c:numCache>
            </c:numRef>
          </c:val>
          <c:extLst>
            <c:ext xmlns:c16="http://schemas.microsoft.com/office/drawing/2014/chart" uri="{C3380CC4-5D6E-409C-BE32-E72D297353CC}">
              <c16:uniqueId val="{00000002-832F-4A8C-A570-1A7913F80319}"/>
            </c:ext>
          </c:extLst>
        </c:ser>
        <c:dLbls>
          <c:showLegendKey val="0"/>
          <c:showVal val="0"/>
          <c:showCatName val="0"/>
          <c:showSerName val="0"/>
          <c:showPercent val="0"/>
          <c:showBubbleSize val="0"/>
        </c:dLbls>
        <c:gapWidth val="219"/>
        <c:axId val="-1528858944"/>
        <c:axId val="-1528857856"/>
      </c:barChart>
      <c:catAx>
        <c:axId val="-152885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528857856"/>
        <c:crosses val="autoZero"/>
        <c:auto val="1"/>
        <c:lblAlgn val="ctr"/>
        <c:lblOffset val="100"/>
        <c:noMultiLvlLbl val="0"/>
      </c:catAx>
      <c:valAx>
        <c:axId val="-1528857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1" u="none" strike="noStrike" kern="1200" baseline="0">
                    <a:solidFill>
                      <a:schemeClr val="tx1">
                        <a:lumMod val="65000"/>
                        <a:lumOff val="35000"/>
                      </a:schemeClr>
                    </a:solidFill>
                    <a:latin typeface="+mn-lt"/>
                    <a:ea typeface="+mn-ea"/>
                    <a:cs typeface="+mn-cs"/>
                  </a:defRPr>
                </a:pPr>
                <a:r>
                  <a:rPr lang="en-US" b="1" i="1"/>
                  <a:t>euro</a:t>
                </a:r>
              </a:p>
            </c:rich>
          </c:tx>
          <c:layout>
            <c:manualLayout>
              <c:xMode val="edge"/>
              <c:yMode val="edge"/>
              <c:x val="2.5026540406955795E-2"/>
              <c:y val="7.5215449406782521E-3"/>
            </c:manualLayout>
          </c:layout>
          <c:overlay val="0"/>
          <c:spPr>
            <a:noFill/>
            <a:ln>
              <a:noFill/>
            </a:ln>
            <a:effectLst/>
          </c:spPr>
          <c:txPr>
            <a:bodyPr rot="0" spcFirstLastPara="1" vertOverflow="ellipsis" wrap="square" anchor="ctr" anchorCtr="1"/>
            <a:lstStyle/>
            <a:p>
              <a:pPr>
                <a:defRPr sz="1000" b="1" i="1" u="none" strike="noStrike" kern="1200" baseline="0">
                  <a:solidFill>
                    <a:schemeClr val="tx1">
                      <a:lumMod val="65000"/>
                      <a:lumOff val="35000"/>
                    </a:schemeClr>
                  </a:solidFill>
                  <a:latin typeface="+mn-lt"/>
                  <a:ea typeface="+mn-ea"/>
                  <a:cs typeface="+mn-cs"/>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528858944"/>
        <c:crosses val="autoZero"/>
        <c:crossBetween val="between"/>
      </c:valAx>
      <c:spPr>
        <a:noFill/>
        <a:ln>
          <a:noFill/>
        </a:ln>
        <a:effectLst/>
      </c:spPr>
    </c:plotArea>
    <c:legend>
      <c:legendPos val="b"/>
      <c:layout>
        <c:manualLayout>
          <c:xMode val="edge"/>
          <c:yMode val="edge"/>
          <c:x val="1.561908737491749E-2"/>
          <c:y val="0.79311550377312856"/>
          <c:w val="0.97713870541840964"/>
          <c:h val="0.2068844962268715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88131645660339E-2"/>
          <c:y val="3.4108518803999559E-2"/>
          <c:w val="0.85553286214649793"/>
          <c:h val="0.7031812973842666"/>
        </c:manualLayout>
      </c:layout>
      <c:barChart>
        <c:barDir val="col"/>
        <c:grouping val="clustered"/>
        <c:varyColors val="0"/>
        <c:ser>
          <c:idx val="0"/>
          <c:order val="0"/>
          <c:tx>
            <c:strRef>
              <c:f>Sheet1!$A$15</c:f>
              <c:strCache>
                <c:ptCount val="1"/>
                <c:pt idx="0">
                  <c:v>PVD veikto pārbaužu skaits</c:v>
                </c:pt>
              </c:strCache>
            </c:strRef>
          </c:tx>
          <c:spPr>
            <a:solidFill>
              <a:schemeClr val="accent1"/>
            </a:solidFill>
            <a:ln>
              <a:noFill/>
            </a:ln>
            <a:effectLst/>
          </c:spPr>
          <c:invertIfNegative val="0"/>
          <c:cat>
            <c:strRef>
              <c:f>Sheet1!$B$14:$G$14</c:f>
              <c:strCache>
                <c:ptCount val="6"/>
                <c:pt idx="0">
                  <c:v>2017.gads</c:v>
                </c:pt>
                <c:pt idx="1">
                  <c:v>2018.gads</c:v>
                </c:pt>
                <c:pt idx="2">
                  <c:v>2019.gads</c:v>
                </c:pt>
                <c:pt idx="3">
                  <c:v>2020.gads</c:v>
                </c:pt>
                <c:pt idx="4">
                  <c:v>2021.gads</c:v>
                </c:pt>
                <c:pt idx="5">
                  <c:v>2022.gads</c:v>
                </c:pt>
              </c:strCache>
            </c:strRef>
          </c:cat>
          <c:val>
            <c:numRef>
              <c:f>Sheet1!$B$15:$G$15</c:f>
              <c:numCache>
                <c:formatCode>General</c:formatCode>
                <c:ptCount val="6"/>
                <c:pt idx="0">
                  <c:v>902</c:v>
                </c:pt>
                <c:pt idx="1">
                  <c:v>848</c:v>
                </c:pt>
                <c:pt idx="2">
                  <c:v>930</c:v>
                </c:pt>
                <c:pt idx="3">
                  <c:v>587</c:v>
                </c:pt>
                <c:pt idx="4">
                  <c:v>431</c:v>
                </c:pt>
                <c:pt idx="5">
                  <c:v>760</c:v>
                </c:pt>
              </c:numCache>
            </c:numRef>
          </c:val>
          <c:extLst>
            <c:ext xmlns:c16="http://schemas.microsoft.com/office/drawing/2014/chart" uri="{C3380CC4-5D6E-409C-BE32-E72D297353CC}">
              <c16:uniqueId val="{00000000-8009-4B7B-BF76-D3E056E66012}"/>
            </c:ext>
          </c:extLst>
        </c:ser>
        <c:ser>
          <c:idx val="1"/>
          <c:order val="1"/>
          <c:tx>
            <c:strRef>
              <c:f>Sheet1!$A$16</c:f>
              <c:strCache>
                <c:ptCount val="1"/>
                <c:pt idx="0">
                  <c:v>Gadījumu skaits, kad konstatētas neatbilstības </c:v>
                </c:pt>
              </c:strCache>
            </c:strRef>
          </c:tx>
          <c:spPr>
            <a:solidFill>
              <a:schemeClr val="accent2"/>
            </a:solidFill>
            <a:ln>
              <a:noFill/>
            </a:ln>
            <a:effectLst/>
          </c:spPr>
          <c:invertIfNegative val="0"/>
          <c:cat>
            <c:strRef>
              <c:f>Sheet1!$B$14:$G$14</c:f>
              <c:strCache>
                <c:ptCount val="6"/>
                <c:pt idx="0">
                  <c:v>2017.gads</c:v>
                </c:pt>
                <c:pt idx="1">
                  <c:v>2018.gads</c:v>
                </c:pt>
                <c:pt idx="2">
                  <c:v>2019.gads</c:v>
                </c:pt>
                <c:pt idx="3">
                  <c:v>2020.gads</c:v>
                </c:pt>
                <c:pt idx="4">
                  <c:v>2021.gads</c:v>
                </c:pt>
                <c:pt idx="5">
                  <c:v>2022.gads</c:v>
                </c:pt>
              </c:strCache>
            </c:strRef>
          </c:cat>
          <c:val>
            <c:numRef>
              <c:f>Sheet1!$B$16:$G$16</c:f>
              <c:numCache>
                <c:formatCode>General</c:formatCode>
                <c:ptCount val="6"/>
                <c:pt idx="0">
                  <c:v>628</c:v>
                </c:pt>
                <c:pt idx="1">
                  <c:v>417</c:v>
                </c:pt>
                <c:pt idx="2">
                  <c:v>494</c:v>
                </c:pt>
                <c:pt idx="3">
                  <c:v>274</c:v>
                </c:pt>
                <c:pt idx="4">
                  <c:v>170</c:v>
                </c:pt>
                <c:pt idx="5">
                  <c:v>307</c:v>
                </c:pt>
              </c:numCache>
            </c:numRef>
          </c:val>
          <c:extLst>
            <c:ext xmlns:c16="http://schemas.microsoft.com/office/drawing/2014/chart" uri="{C3380CC4-5D6E-409C-BE32-E72D297353CC}">
              <c16:uniqueId val="{00000001-8009-4B7B-BF76-D3E056E66012}"/>
            </c:ext>
          </c:extLst>
        </c:ser>
        <c:ser>
          <c:idx val="2"/>
          <c:order val="2"/>
          <c:tx>
            <c:strRef>
              <c:f>Sheet1!$A$17</c:f>
              <c:strCache>
                <c:ptCount val="1"/>
                <c:pt idx="0">
                  <c:v>Pārbaudīto partiju skaits</c:v>
                </c:pt>
              </c:strCache>
            </c:strRef>
          </c:tx>
          <c:spPr>
            <a:solidFill>
              <a:schemeClr val="accent3"/>
            </a:solidFill>
            <a:ln>
              <a:noFill/>
            </a:ln>
            <a:effectLst/>
          </c:spPr>
          <c:invertIfNegative val="0"/>
          <c:cat>
            <c:strRef>
              <c:f>Sheet1!$B$14:$G$14</c:f>
              <c:strCache>
                <c:ptCount val="6"/>
                <c:pt idx="0">
                  <c:v>2017.gads</c:v>
                </c:pt>
                <c:pt idx="1">
                  <c:v>2018.gads</c:v>
                </c:pt>
                <c:pt idx="2">
                  <c:v>2019.gads</c:v>
                </c:pt>
                <c:pt idx="3">
                  <c:v>2020.gads</c:v>
                </c:pt>
                <c:pt idx="4">
                  <c:v>2021.gads</c:v>
                </c:pt>
                <c:pt idx="5">
                  <c:v>2022.gads</c:v>
                </c:pt>
              </c:strCache>
            </c:strRef>
          </c:cat>
          <c:val>
            <c:numRef>
              <c:f>Sheet1!$B$17:$G$17</c:f>
              <c:numCache>
                <c:formatCode>General</c:formatCode>
                <c:ptCount val="6"/>
                <c:pt idx="0">
                  <c:v>5053</c:v>
                </c:pt>
                <c:pt idx="1">
                  <c:v>4562</c:v>
                </c:pt>
                <c:pt idx="2">
                  <c:v>4865</c:v>
                </c:pt>
                <c:pt idx="3">
                  <c:v>2968</c:v>
                </c:pt>
                <c:pt idx="4">
                  <c:v>2179</c:v>
                </c:pt>
                <c:pt idx="5">
                  <c:v>4083</c:v>
                </c:pt>
              </c:numCache>
            </c:numRef>
          </c:val>
          <c:extLst>
            <c:ext xmlns:c16="http://schemas.microsoft.com/office/drawing/2014/chart" uri="{C3380CC4-5D6E-409C-BE32-E72D297353CC}">
              <c16:uniqueId val="{00000002-8009-4B7B-BF76-D3E056E66012}"/>
            </c:ext>
          </c:extLst>
        </c:ser>
        <c:dLbls>
          <c:showLegendKey val="0"/>
          <c:showVal val="0"/>
          <c:showCatName val="0"/>
          <c:showSerName val="0"/>
          <c:showPercent val="0"/>
          <c:showBubbleSize val="0"/>
        </c:dLbls>
        <c:gapWidth val="219"/>
        <c:overlap val="-27"/>
        <c:axId val="-1528861664"/>
        <c:axId val="-1528856768"/>
      </c:barChart>
      <c:lineChart>
        <c:grouping val="standard"/>
        <c:varyColors val="0"/>
        <c:ser>
          <c:idx val="3"/>
          <c:order val="3"/>
          <c:tx>
            <c:strRef>
              <c:f>Sheet1!$A$18</c:f>
              <c:strCache>
                <c:ptCount val="1"/>
                <c:pt idx="0">
                  <c:v>Neatbilstību skaits pret veiktajām pārbaudēm,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Sheet1!$B$14:$G$14</c:f>
              <c:strCache>
                <c:ptCount val="6"/>
                <c:pt idx="0">
                  <c:v>2017.gads</c:v>
                </c:pt>
                <c:pt idx="1">
                  <c:v>2018.gads</c:v>
                </c:pt>
                <c:pt idx="2">
                  <c:v>2019.gads</c:v>
                </c:pt>
                <c:pt idx="3">
                  <c:v>2020.gads</c:v>
                </c:pt>
                <c:pt idx="4">
                  <c:v>2021.gads</c:v>
                </c:pt>
                <c:pt idx="5">
                  <c:v>2022.gads</c:v>
                </c:pt>
              </c:strCache>
            </c:strRef>
          </c:cat>
          <c:val>
            <c:numRef>
              <c:f>Sheet1!$B$18:$G$18</c:f>
              <c:numCache>
                <c:formatCode>0%</c:formatCode>
                <c:ptCount val="6"/>
                <c:pt idx="0">
                  <c:v>0.69623059866962311</c:v>
                </c:pt>
                <c:pt idx="1">
                  <c:v>0.49174528301886794</c:v>
                </c:pt>
                <c:pt idx="2">
                  <c:v>0.53118279569892468</c:v>
                </c:pt>
                <c:pt idx="3">
                  <c:v>0.46678023850085176</c:v>
                </c:pt>
                <c:pt idx="4">
                  <c:v>0.39443155452436196</c:v>
                </c:pt>
                <c:pt idx="5">
                  <c:v>0.40394736842105261</c:v>
                </c:pt>
              </c:numCache>
            </c:numRef>
          </c:val>
          <c:smooth val="0"/>
          <c:extLst>
            <c:ext xmlns:c16="http://schemas.microsoft.com/office/drawing/2014/chart" uri="{C3380CC4-5D6E-409C-BE32-E72D297353CC}">
              <c16:uniqueId val="{00000003-8009-4B7B-BF76-D3E056E66012}"/>
            </c:ext>
          </c:extLst>
        </c:ser>
        <c:ser>
          <c:idx val="4"/>
          <c:order val="4"/>
          <c:tx>
            <c:strRef>
              <c:f>Sheet1!$A$19</c:f>
              <c:strCache>
                <c:ptCount val="1"/>
                <c:pt idx="0">
                  <c:v>Neatbilstošas partijas no pārbaudītajām,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Sheet1!$B$14:$G$14</c:f>
              <c:strCache>
                <c:ptCount val="6"/>
                <c:pt idx="0">
                  <c:v>2017.gads</c:v>
                </c:pt>
                <c:pt idx="1">
                  <c:v>2018.gads</c:v>
                </c:pt>
                <c:pt idx="2">
                  <c:v>2019.gads</c:v>
                </c:pt>
                <c:pt idx="3">
                  <c:v>2020.gads</c:v>
                </c:pt>
                <c:pt idx="4">
                  <c:v>2021.gads</c:v>
                </c:pt>
                <c:pt idx="5">
                  <c:v>2022.gads</c:v>
                </c:pt>
              </c:strCache>
            </c:strRef>
          </c:cat>
          <c:val>
            <c:numRef>
              <c:f>Sheet1!$B$19:$G$19</c:f>
              <c:numCache>
                <c:formatCode>0%</c:formatCode>
                <c:ptCount val="6"/>
                <c:pt idx="0">
                  <c:v>0.12428260439342964</c:v>
                </c:pt>
                <c:pt idx="1">
                  <c:v>9.1407277509864091E-2</c:v>
                </c:pt>
                <c:pt idx="2">
                  <c:v>0.10154162384378211</c:v>
                </c:pt>
                <c:pt idx="3">
                  <c:v>9.2318059299191374E-2</c:v>
                </c:pt>
                <c:pt idx="4">
                  <c:v>7.8017439192290039E-2</c:v>
                </c:pt>
                <c:pt idx="5">
                  <c:v>7.5189811413176585E-2</c:v>
                </c:pt>
              </c:numCache>
            </c:numRef>
          </c:val>
          <c:smooth val="0"/>
          <c:extLst>
            <c:ext xmlns:c16="http://schemas.microsoft.com/office/drawing/2014/chart" uri="{C3380CC4-5D6E-409C-BE32-E72D297353CC}">
              <c16:uniqueId val="{00000004-8009-4B7B-BF76-D3E056E66012}"/>
            </c:ext>
          </c:extLst>
        </c:ser>
        <c:dLbls>
          <c:showLegendKey val="0"/>
          <c:showVal val="0"/>
          <c:showCatName val="0"/>
          <c:showSerName val="0"/>
          <c:showPercent val="0"/>
          <c:showBubbleSize val="0"/>
        </c:dLbls>
        <c:marker val="1"/>
        <c:smooth val="0"/>
        <c:axId val="-1528863840"/>
        <c:axId val="-1528869280"/>
      </c:lineChart>
      <c:catAx>
        <c:axId val="-152886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856768"/>
        <c:crosses val="autoZero"/>
        <c:auto val="1"/>
        <c:lblAlgn val="ctr"/>
        <c:lblOffset val="100"/>
        <c:noMultiLvlLbl val="0"/>
      </c:catAx>
      <c:valAx>
        <c:axId val="-152885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861664"/>
        <c:crosses val="autoZero"/>
        <c:crossBetween val="between"/>
      </c:valAx>
      <c:valAx>
        <c:axId val="-152886928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863840"/>
        <c:crosses val="max"/>
        <c:crossBetween val="between"/>
      </c:valAx>
      <c:catAx>
        <c:axId val="-1528863840"/>
        <c:scaling>
          <c:orientation val="minMax"/>
        </c:scaling>
        <c:delete val="1"/>
        <c:axPos val="b"/>
        <c:numFmt formatCode="General" sourceLinked="1"/>
        <c:majorTickMark val="out"/>
        <c:minorTickMark val="none"/>
        <c:tickLblPos val="nextTo"/>
        <c:crossAx val="-1528869280"/>
        <c:crosses val="autoZero"/>
        <c:auto val="1"/>
        <c:lblAlgn val="ctr"/>
        <c:lblOffset val="100"/>
        <c:noMultiLvlLbl val="0"/>
      </c:catAx>
      <c:spPr>
        <a:noFill/>
        <a:ln>
          <a:noFill/>
        </a:ln>
        <a:effectLst/>
      </c:spPr>
    </c:plotArea>
    <c:legend>
      <c:legendPos val="b"/>
      <c:layout>
        <c:manualLayout>
          <c:xMode val="edge"/>
          <c:yMode val="edge"/>
          <c:x val="9.3221538433975459E-3"/>
          <c:y val="0.84224626936549607"/>
          <c:w val="0.97908020029919474"/>
          <c:h val="0.1391490840141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14260717410323E-2"/>
          <c:y val="0.11574074074074074"/>
          <c:w val="0.79783814523184604"/>
          <c:h val="0.6617665500145814"/>
        </c:manualLayout>
      </c:layout>
      <c:barChart>
        <c:barDir val="col"/>
        <c:grouping val="clustered"/>
        <c:varyColors val="0"/>
        <c:ser>
          <c:idx val="1"/>
          <c:order val="1"/>
          <c:tx>
            <c:strRef>
              <c:f>'NM skaits (PVN)'!$B$22</c:f>
              <c:strCache>
                <c:ptCount val="1"/>
                <c:pt idx="0">
                  <c:v>Tirgotāji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'NM skaits (PVN)'!$C$20:$J$20</c:f>
              <c:strCache>
                <c:ptCount val="8"/>
                <c:pt idx="0">
                  <c:v>2017.g. 1.jan..</c:v>
                </c:pt>
                <c:pt idx="1">
                  <c:v>2018.g. 1.jan.</c:v>
                </c:pt>
                <c:pt idx="2">
                  <c:v>2019.g. 1.jan.</c:v>
                </c:pt>
                <c:pt idx="3">
                  <c:v>2020.g. 1.jan.</c:v>
                </c:pt>
                <c:pt idx="4">
                  <c:v>2021.g. 1.jan.</c:v>
                </c:pt>
                <c:pt idx="5">
                  <c:v>2022.g. 1.jan.</c:v>
                </c:pt>
                <c:pt idx="6">
                  <c:v>2023.g. 1.jan.</c:v>
                </c:pt>
                <c:pt idx="7">
                  <c:v>2023.g. 1.jūn.</c:v>
                </c:pt>
              </c:strCache>
            </c:strRef>
          </c:cat>
          <c:val>
            <c:numRef>
              <c:f>'NM skaits (PVN)'!$C$22:$J$22</c:f>
              <c:numCache>
                <c:formatCode>General</c:formatCode>
                <c:ptCount val="8"/>
                <c:pt idx="0">
                  <c:v>200</c:v>
                </c:pt>
                <c:pt idx="1">
                  <c:v>183</c:v>
                </c:pt>
                <c:pt idx="2">
                  <c:v>174</c:v>
                </c:pt>
                <c:pt idx="3">
                  <c:v>156</c:v>
                </c:pt>
                <c:pt idx="4">
                  <c:v>150</c:v>
                </c:pt>
                <c:pt idx="5">
                  <c:v>152</c:v>
                </c:pt>
                <c:pt idx="6">
                  <c:v>145</c:v>
                </c:pt>
                <c:pt idx="7">
                  <c:v>146</c:v>
                </c:pt>
              </c:numCache>
            </c:numRef>
          </c:val>
          <c:extLst>
            <c:ext xmlns:c16="http://schemas.microsoft.com/office/drawing/2014/chart" uri="{C3380CC4-5D6E-409C-BE32-E72D297353CC}">
              <c16:uniqueId val="{00000000-B681-4F22-B8DF-0B03DB54429B}"/>
            </c:ext>
          </c:extLst>
        </c:ser>
        <c:ser>
          <c:idx val="2"/>
          <c:order val="2"/>
          <c:tx>
            <c:strRef>
              <c:f>'NM skaits (PVN)'!$B$23</c:f>
              <c:strCache>
                <c:ptCount val="1"/>
                <c:pt idx="0">
                  <c:v>Ražotāji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'NM skaits (PVN)'!$C$20:$J$20</c:f>
              <c:strCache>
                <c:ptCount val="8"/>
                <c:pt idx="0">
                  <c:v>2017.g. 1.jan..</c:v>
                </c:pt>
                <c:pt idx="1">
                  <c:v>2018.g. 1.jan.</c:v>
                </c:pt>
                <c:pt idx="2">
                  <c:v>2019.g. 1.jan.</c:v>
                </c:pt>
                <c:pt idx="3">
                  <c:v>2020.g. 1.jan.</c:v>
                </c:pt>
                <c:pt idx="4">
                  <c:v>2021.g. 1.jan.</c:v>
                </c:pt>
                <c:pt idx="5">
                  <c:v>2022.g. 1.jan.</c:v>
                </c:pt>
                <c:pt idx="6">
                  <c:v>2023.g. 1.jan.</c:v>
                </c:pt>
                <c:pt idx="7">
                  <c:v>2023.g. 1.jūn.</c:v>
                </c:pt>
              </c:strCache>
            </c:strRef>
          </c:cat>
          <c:val>
            <c:numRef>
              <c:f>'NM skaits (PVN)'!$C$23:$J$23</c:f>
              <c:numCache>
                <c:formatCode>General</c:formatCode>
                <c:ptCount val="8"/>
                <c:pt idx="0">
                  <c:v>473</c:v>
                </c:pt>
                <c:pt idx="1">
                  <c:v>465</c:v>
                </c:pt>
                <c:pt idx="2">
                  <c:v>486</c:v>
                </c:pt>
                <c:pt idx="3">
                  <c:v>489</c:v>
                </c:pt>
                <c:pt idx="4">
                  <c:v>518</c:v>
                </c:pt>
                <c:pt idx="5">
                  <c:v>549</c:v>
                </c:pt>
                <c:pt idx="6">
                  <c:v>558</c:v>
                </c:pt>
                <c:pt idx="7">
                  <c:v>559</c:v>
                </c:pt>
              </c:numCache>
            </c:numRef>
          </c:val>
          <c:extLst>
            <c:ext xmlns:c16="http://schemas.microsoft.com/office/drawing/2014/chart" uri="{C3380CC4-5D6E-409C-BE32-E72D297353CC}">
              <c16:uniqueId val="{00000001-B681-4F22-B8DF-0B03DB54429B}"/>
            </c:ext>
          </c:extLst>
        </c:ser>
        <c:dLbls>
          <c:showLegendKey val="0"/>
          <c:showVal val="0"/>
          <c:showCatName val="0"/>
          <c:showSerName val="0"/>
          <c:showPercent val="0"/>
          <c:showBubbleSize val="0"/>
        </c:dLbls>
        <c:gapWidth val="219"/>
        <c:overlap val="-27"/>
        <c:axId val="-1528865472"/>
        <c:axId val="-1528864384"/>
      </c:barChart>
      <c:lineChart>
        <c:grouping val="standard"/>
        <c:varyColors val="0"/>
        <c:ser>
          <c:idx val="0"/>
          <c:order val="0"/>
          <c:tx>
            <c:strRef>
              <c:f>'NM skaits (PVN)'!$B$21</c:f>
              <c:strCache>
                <c:ptCount val="1"/>
                <c:pt idx="0">
                  <c:v>Valstī kopumā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'NM skaits (PVN)'!$C$20:$J$20</c:f>
              <c:strCache>
                <c:ptCount val="8"/>
                <c:pt idx="0">
                  <c:v>2017.g. 1.jan..</c:v>
                </c:pt>
                <c:pt idx="1">
                  <c:v>2018.g. 1.jan.</c:v>
                </c:pt>
                <c:pt idx="2">
                  <c:v>2019.g. 1.jan.</c:v>
                </c:pt>
                <c:pt idx="3">
                  <c:v>2020.g. 1.jan.</c:v>
                </c:pt>
                <c:pt idx="4">
                  <c:v>2021.g. 1.jan.</c:v>
                </c:pt>
                <c:pt idx="5">
                  <c:v>2022.g. 1.jan.</c:v>
                </c:pt>
                <c:pt idx="6">
                  <c:v>2023.g. 1.jan.</c:v>
                </c:pt>
                <c:pt idx="7">
                  <c:v>2023.g. 1.jūn.</c:v>
                </c:pt>
              </c:strCache>
            </c:strRef>
          </c:cat>
          <c:val>
            <c:numRef>
              <c:f>'NM skaits (PVN)'!$C$21:$J$21</c:f>
              <c:numCache>
                <c:formatCode>General</c:formatCode>
                <c:ptCount val="8"/>
                <c:pt idx="0">
                  <c:v>89681</c:v>
                </c:pt>
                <c:pt idx="1">
                  <c:v>84622</c:v>
                </c:pt>
                <c:pt idx="2">
                  <c:v>83554</c:v>
                </c:pt>
                <c:pt idx="3">
                  <c:v>78897</c:v>
                </c:pt>
                <c:pt idx="4">
                  <c:v>78808</c:v>
                </c:pt>
                <c:pt idx="5">
                  <c:v>80103</c:v>
                </c:pt>
                <c:pt idx="6">
                  <c:v>81814</c:v>
                </c:pt>
                <c:pt idx="7">
                  <c:v>83187</c:v>
                </c:pt>
              </c:numCache>
            </c:numRef>
          </c:val>
          <c:smooth val="0"/>
          <c:extLst>
            <c:ext xmlns:c16="http://schemas.microsoft.com/office/drawing/2014/chart" uri="{C3380CC4-5D6E-409C-BE32-E72D297353CC}">
              <c16:uniqueId val="{00000002-B681-4F22-B8DF-0B03DB54429B}"/>
            </c:ext>
          </c:extLst>
        </c:ser>
        <c:dLbls>
          <c:showLegendKey val="0"/>
          <c:showVal val="0"/>
          <c:showCatName val="0"/>
          <c:showSerName val="0"/>
          <c:showPercent val="0"/>
          <c:showBubbleSize val="0"/>
        </c:dLbls>
        <c:marker val="1"/>
        <c:smooth val="0"/>
        <c:axId val="-1528862752"/>
        <c:axId val="-1528863296"/>
      </c:lineChart>
      <c:catAx>
        <c:axId val="-152886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528864384"/>
        <c:crosses val="autoZero"/>
        <c:auto val="1"/>
        <c:lblAlgn val="ctr"/>
        <c:lblOffset val="100"/>
        <c:noMultiLvlLbl val="0"/>
      </c:catAx>
      <c:valAx>
        <c:axId val="-1528864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skaits</a:t>
                </a:r>
              </a:p>
            </c:rich>
          </c:tx>
          <c:layout>
            <c:manualLayout>
              <c:xMode val="edge"/>
              <c:yMode val="edge"/>
              <c:x val="1.9444444444444445E-2"/>
              <c:y val="2.022346165062698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528865472"/>
        <c:crosses val="autoZero"/>
        <c:crossBetween val="between"/>
      </c:valAx>
      <c:valAx>
        <c:axId val="-1528863296"/>
        <c:scaling>
          <c:orientation val="minMax"/>
        </c:scaling>
        <c:delete val="0"/>
        <c:axPos val="r"/>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skaits</a:t>
                </a:r>
              </a:p>
            </c:rich>
          </c:tx>
          <c:layout>
            <c:manualLayout>
              <c:xMode val="edge"/>
              <c:yMode val="edge"/>
              <c:x val="0.89777777777777779"/>
              <c:y val="2.022346165062698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v-LV"/>
          </a:p>
        </c:txPr>
        <c:crossAx val="-1528862752"/>
        <c:crosses val="max"/>
        <c:crossBetween val="between"/>
      </c:valAx>
      <c:catAx>
        <c:axId val="-1528862752"/>
        <c:scaling>
          <c:orientation val="minMax"/>
        </c:scaling>
        <c:delete val="1"/>
        <c:axPos val="b"/>
        <c:numFmt formatCode="General" sourceLinked="1"/>
        <c:majorTickMark val="out"/>
        <c:minorTickMark val="none"/>
        <c:tickLblPos val="nextTo"/>
        <c:crossAx val="-1528863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002373254505952E-2"/>
          <c:y val="3.5662099943737105E-2"/>
          <c:w val="0.90504813520322513"/>
          <c:h val="0.7006859784893974"/>
        </c:manualLayout>
      </c:layout>
      <c:barChart>
        <c:barDir val="col"/>
        <c:grouping val="clustered"/>
        <c:varyColors val="0"/>
        <c:ser>
          <c:idx val="0"/>
          <c:order val="0"/>
          <c:tx>
            <c:strRef>
              <c:f>'Algu saņēmušie'!$A$23</c:f>
              <c:strCache>
                <c:ptCount val="1"/>
                <c:pt idx="0">
                  <c:v>Nodokļu maksātāji, kuru pamatdarbības veids ir augkopība un lopkopība, medniecība un saistītas palīgdarbības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'Algu saņēmušie'!$B$52:$G$52</c:f>
              <c:strCache>
                <c:ptCount val="6"/>
                <c:pt idx="0">
                  <c:v>2017. gads</c:v>
                </c:pt>
                <c:pt idx="1">
                  <c:v>2018. gads</c:v>
                </c:pt>
                <c:pt idx="2">
                  <c:v>2019. gads</c:v>
                </c:pt>
                <c:pt idx="3">
                  <c:v>2020. gads</c:v>
                </c:pt>
                <c:pt idx="4">
                  <c:v>2021. gads</c:v>
                </c:pt>
                <c:pt idx="5">
                  <c:v>2022. gads</c:v>
                </c:pt>
              </c:strCache>
            </c:strRef>
          </c:cat>
          <c:val>
            <c:numRef>
              <c:f>'Algu saņēmušie'!$B$58:$G$58</c:f>
              <c:numCache>
                <c:formatCode>#,##0</c:formatCode>
                <c:ptCount val="6"/>
                <c:pt idx="1">
                  <c:v>20360.666666666668</c:v>
                </c:pt>
                <c:pt idx="2">
                  <c:v>20255.75</c:v>
                </c:pt>
                <c:pt idx="3">
                  <c:v>20107.833333333332</c:v>
                </c:pt>
                <c:pt idx="4">
                  <c:v>19863.083333333332</c:v>
                </c:pt>
                <c:pt idx="5">
                  <c:v>19376.916666666668</c:v>
                </c:pt>
              </c:numCache>
            </c:numRef>
          </c:val>
          <c:extLst>
            <c:ext xmlns:c16="http://schemas.microsoft.com/office/drawing/2014/chart" uri="{C3380CC4-5D6E-409C-BE32-E72D297353CC}">
              <c16:uniqueId val="{00000000-F27B-4212-9714-045A45093BCB}"/>
            </c:ext>
          </c:extLst>
        </c:ser>
        <c:ser>
          <c:idx val="1"/>
          <c:order val="1"/>
          <c:tx>
            <c:strRef>
              <c:f>'Algu saņēmušie'!$J$53</c:f>
              <c:strCache>
                <c:ptCount val="1"/>
                <c:pt idx="0">
                  <c:v>Pievienotās vērtības nodokļa likumā norādīto augļu, ogu un dārzeņu audzētāji, kuri norādījuši ar PVN 5% likmi apliekamos darījumus kaut vienā 2022.gada periodā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'Algu saņēmušie'!$B$52:$G$52</c:f>
              <c:strCache>
                <c:ptCount val="6"/>
                <c:pt idx="0">
                  <c:v>2017. gads</c:v>
                </c:pt>
                <c:pt idx="1">
                  <c:v>2018. gads</c:v>
                </c:pt>
                <c:pt idx="2">
                  <c:v>2019. gads</c:v>
                </c:pt>
                <c:pt idx="3">
                  <c:v>2020. gads</c:v>
                </c:pt>
                <c:pt idx="4">
                  <c:v>2021. gads</c:v>
                </c:pt>
                <c:pt idx="5">
                  <c:v>2022. gads</c:v>
                </c:pt>
              </c:strCache>
            </c:strRef>
          </c:cat>
          <c:val>
            <c:numRef>
              <c:f>'Algu saņēmušie'!$B$56:$G$56</c:f>
              <c:numCache>
                <c:formatCode>#,##0</c:formatCode>
                <c:ptCount val="6"/>
                <c:pt idx="0">
                  <c:v>5971</c:v>
                </c:pt>
                <c:pt idx="1">
                  <c:v>6288</c:v>
                </c:pt>
                <c:pt idx="2">
                  <c:v>6483</c:v>
                </c:pt>
                <c:pt idx="3">
                  <c:v>6591</c:v>
                </c:pt>
                <c:pt idx="4">
                  <c:v>6680</c:v>
                </c:pt>
                <c:pt idx="5">
                  <c:v>6523</c:v>
                </c:pt>
              </c:numCache>
            </c:numRef>
          </c:val>
          <c:extLst>
            <c:ext xmlns:c16="http://schemas.microsoft.com/office/drawing/2014/chart" uri="{C3380CC4-5D6E-409C-BE32-E72D297353CC}">
              <c16:uniqueId val="{00000001-F27B-4212-9714-045A45093BCB}"/>
            </c:ext>
          </c:extLst>
        </c:ser>
        <c:dLbls>
          <c:showLegendKey val="0"/>
          <c:showVal val="0"/>
          <c:showCatName val="0"/>
          <c:showSerName val="0"/>
          <c:showPercent val="0"/>
          <c:showBubbleSize val="0"/>
        </c:dLbls>
        <c:gapWidth val="219"/>
        <c:axId val="-1528862208"/>
        <c:axId val="-1487454896"/>
      </c:barChart>
      <c:catAx>
        <c:axId val="-1528862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54896"/>
        <c:crosses val="autoZero"/>
        <c:auto val="1"/>
        <c:lblAlgn val="ctr"/>
        <c:lblOffset val="100"/>
        <c:noMultiLvlLbl val="0"/>
      </c:catAx>
      <c:valAx>
        <c:axId val="-1487454896"/>
        <c:scaling>
          <c:orientation val="minMax"/>
          <c:max val="21000"/>
          <c:min val="4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28862208"/>
        <c:crosses val="autoZero"/>
        <c:crossBetween val="between"/>
      </c:valAx>
      <c:spPr>
        <a:noFill/>
        <a:ln>
          <a:noFill/>
        </a:ln>
        <a:effectLst/>
      </c:spPr>
    </c:plotArea>
    <c:legend>
      <c:legendPos val="b"/>
      <c:layout>
        <c:manualLayout>
          <c:xMode val="edge"/>
          <c:yMode val="edge"/>
          <c:x val="2.5444119343379513E-2"/>
          <c:y val="0.8147990822306248"/>
          <c:w val="0.95484898361159343"/>
          <c:h val="0.165748863254609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52524293799463E-2"/>
          <c:y val="3.1773541305603697E-2"/>
          <c:w val="0.904185207992795"/>
          <c:h val="0.47119524920736727"/>
        </c:manualLayout>
      </c:layout>
      <c:barChart>
        <c:barDir val="col"/>
        <c:grouping val="clustered"/>
        <c:varyColors val="0"/>
        <c:ser>
          <c:idx val="0"/>
          <c:order val="0"/>
          <c:tx>
            <c:strRef>
              <c:f>'Darba vietu sadalījums (2)'!$A$54</c:f>
              <c:strCache>
                <c:ptCount val="1"/>
                <c:pt idx="0">
                  <c:v>2018.gads</c:v>
                </c:pt>
              </c:strCache>
            </c:strRef>
          </c:tx>
          <c:spPr>
            <a:solidFill>
              <a:schemeClr val="accent1"/>
            </a:solidFill>
            <a:ln>
              <a:noFill/>
            </a:ln>
            <a:effectLst/>
          </c:spPr>
          <c:invertIfNegative val="0"/>
          <c:cat>
            <c:multiLvlStrRef>
              <c:f>'Darba vietu sadalījums (2)'!$B$52:$M$53</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virs 1000 EUR</c:v>
                  </c:pt>
                </c:lvl>
              </c:multiLvlStrCache>
            </c:multiLvlStrRef>
          </c:cat>
          <c:val>
            <c:numRef>
              <c:f>'Darba vietu sadalījums (2)'!$B$54:$M$54</c:f>
              <c:numCache>
                <c:formatCode>0.0%</c:formatCode>
                <c:ptCount val="12"/>
                <c:pt idx="0">
                  <c:v>0.309</c:v>
                </c:pt>
                <c:pt idx="1">
                  <c:v>0.37</c:v>
                </c:pt>
                <c:pt idx="2">
                  <c:v>0.36299999999999999</c:v>
                </c:pt>
                <c:pt idx="3">
                  <c:v>3.5999999999999997E-2</c:v>
                </c:pt>
                <c:pt idx="4">
                  <c:v>8.2000000000000003E-2</c:v>
                </c:pt>
                <c:pt idx="5">
                  <c:v>0.05</c:v>
                </c:pt>
                <c:pt idx="6">
                  <c:v>0.39300000000000002</c:v>
                </c:pt>
                <c:pt idx="7">
                  <c:v>0.40100000000000002</c:v>
                </c:pt>
                <c:pt idx="8">
                  <c:v>0.39700000000000002</c:v>
                </c:pt>
                <c:pt idx="9">
                  <c:v>0.26200000000000001</c:v>
                </c:pt>
                <c:pt idx="10">
                  <c:v>0.14700000000000002</c:v>
                </c:pt>
                <c:pt idx="11">
                  <c:v>0.19</c:v>
                </c:pt>
              </c:numCache>
            </c:numRef>
          </c:val>
          <c:extLst>
            <c:ext xmlns:c16="http://schemas.microsoft.com/office/drawing/2014/chart" uri="{C3380CC4-5D6E-409C-BE32-E72D297353CC}">
              <c16:uniqueId val="{00000000-D0C5-4A23-A3E7-6C959117FF22}"/>
            </c:ext>
          </c:extLst>
        </c:ser>
        <c:ser>
          <c:idx val="1"/>
          <c:order val="1"/>
          <c:tx>
            <c:strRef>
              <c:f>'Darba vietu sadalījums (2)'!$A$55</c:f>
              <c:strCache>
                <c:ptCount val="1"/>
                <c:pt idx="0">
                  <c:v>2019.gads</c:v>
                </c:pt>
              </c:strCache>
            </c:strRef>
          </c:tx>
          <c:spPr>
            <a:solidFill>
              <a:schemeClr val="accent2"/>
            </a:solidFill>
            <a:ln>
              <a:noFill/>
            </a:ln>
            <a:effectLst/>
          </c:spPr>
          <c:invertIfNegative val="0"/>
          <c:cat>
            <c:multiLvlStrRef>
              <c:f>'Darba vietu sadalījums (2)'!$B$52:$M$53</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virs 1000 EUR</c:v>
                  </c:pt>
                </c:lvl>
              </c:multiLvlStrCache>
            </c:multiLvlStrRef>
          </c:cat>
          <c:val>
            <c:numRef>
              <c:f>'Darba vietu sadalījums (2)'!$B$55:$M$55</c:f>
              <c:numCache>
                <c:formatCode>0.0%</c:formatCode>
                <c:ptCount val="12"/>
                <c:pt idx="0">
                  <c:v>0.29699999999999999</c:v>
                </c:pt>
                <c:pt idx="1">
                  <c:v>0.35600000000000004</c:v>
                </c:pt>
                <c:pt idx="2">
                  <c:v>0.34</c:v>
                </c:pt>
                <c:pt idx="3">
                  <c:v>3.1E-2</c:v>
                </c:pt>
                <c:pt idx="4">
                  <c:v>7.6999999999999999E-2</c:v>
                </c:pt>
                <c:pt idx="5">
                  <c:v>4.5999999999999999E-2</c:v>
                </c:pt>
                <c:pt idx="6">
                  <c:v>0.373</c:v>
                </c:pt>
                <c:pt idx="7">
                  <c:v>0.39300000000000002</c:v>
                </c:pt>
                <c:pt idx="8">
                  <c:v>0.38900000000000001</c:v>
                </c:pt>
                <c:pt idx="9">
                  <c:v>0.29900000000000004</c:v>
                </c:pt>
                <c:pt idx="10">
                  <c:v>0.17400000000000002</c:v>
                </c:pt>
                <c:pt idx="11">
                  <c:v>0.22500000000000001</c:v>
                </c:pt>
              </c:numCache>
            </c:numRef>
          </c:val>
          <c:extLst>
            <c:ext xmlns:c16="http://schemas.microsoft.com/office/drawing/2014/chart" uri="{C3380CC4-5D6E-409C-BE32-E72D297353CC}">
              <c16:uniqueId val="{00000001-D0C5-4A23-A3E7-6C959117FF22}"/>
            </c:ext>
          </c:extLst>
        </c:ser>
        <c:ser>
          <c:idx val="2"/>
          <c:order val="2"/>
          <c:tx>
            <c:strRef>
              <c:f>'Darba vietu sadalījums (2)'!$A$56</c:f>
              <c:strCache>
                <c:ptCount val="1"/>
                <c:pt idx="0">
                  <c:v>2020.gads</c:v>
                </c:pt>
              </c:strCache>
            </c:strRef>
          </c:tx>
          <c:spPr>
            <a:solidFill>
              <a:schemeClr val="accent3"/>
            </a:solidFill>
            <a:ln>
              <a:noFill/>
            </a:ln>
            <a:effectLst/>
          </c:spPr>
          <c:invertIfNegative val="0"/>
          <c:cat>
            <c:multiLvlStrRef>
              <c:f>'Darba vietu sadalījums (2)'!$B$52:$M$53</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virs 1000 EUR</c:v>
                  </c:pt>
                </c:lvl>
              </c:multiLvlStrCache>
            </c:multiLvlStrRef>
          </c:cat>
          <c:val>
            <c:numRef>
              <c:f>'Darba vietu sadalījums (2)'!$B$56:$M$56</c:f>
              <c:numCache>
                <c:formatCode>0.0%</c:formatCode>
                <c:ptCount val="12"/>
                <c:pt idx="0">
                  <c:v>0.30299999999999999</c:v>
                </c:pt>
                <c:pt idx="1">
                  <c:v>0.34400000000000003</c:v>
                </c:pt>
                <c:pt idx="2">
                  <c:v>0.33</c:v>
                </c:pt>
                <c:pt idx="3">
                  <c:v>2.5000000000000001E-2</c:v>
                </c:pt>
                <c:pt idx="4">
                  <c:v>6.7000000000000004E-2</c:v>
                </c:pt>
                <c:pt idx="5">
                  <c:v>0.04</c:v>
                </c:pt>
                <c:pt idx="6">
                  <c:v>0.34899999999999998</c:v>
                </c:pt>
                <c:pt idx="7">
                  <c:v>0.39</c:v>
                </c:pt>
                <c:pt idx="8">
                  <c:v>0.38600000000000001</c:v>
                </c:pt>
                <c:pt idx="9">
                  <c:v>0.32300000000000006</c:v>
                </c:pt>
                <c:pt idx="10">
                  <c:v>0.19900000000000001</c:v>
                </c:pt>
                <c:pt idx="11">
                  <c:v>0.24400000000000002</c:v>
                </c:pt>
              </c:numCache>
            </c:numRef>
          </c:val>
          <c:extLst>
            <c:ext xmlns:c16="http://schemas.microsoft.com/office/drawing/2014/chart" uri="{C3380CC4-5D6E-409C-BE32-E72D297353CC}">
              <c16:uniqueId val="{00000002-D0C5-4A23-A3E7-6C959117FF22}"/>
            </c:ext>
          </c:extLst>
        </c:ser>
        <c:ser>
          <c:idx val="3"/>
          <c:order val="3"/>
          <c:tx>
            <c:strRef>
              <c:f>'Darba vietu sadalījums (2)'!$A$57</c:f>
              <c:strCache>
                <c:ptCount val="1"/>
                <c:pt idx="0">
                  <c:v>2021.gads</c:v>
                </c:pt>
              </c:strCache>
            </c:strRef>
          </c:tx>
          <c:spPr>
            <a:solidFill>
              <a:schemeClr val="accent4"/>
            </a:solidFill>
            <a:ln>
              <a:noFill/>
            </a:ln>
            <a:effectLst/>
          </c:spPr>
          <c:invertIfNegative val="0"/>
          <c:cat>
            <c:multiLvlStrRef>
              <c:f>'Darba vietu sadalījums (2)'!$B$52:$M$53</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virs 1000 EUR</c:v>
                  </c:pt>
                </c:lvl>
              </c:multiLvlStrCache>
            </c:multiLvlStrRef>
          </c:cat>
          <c:val>
            <c:numRef>
              <c:f>'Darba vietu sadalījums (2)'!$B$57:$M$57</c:f>
              <c:numCache>
                <c:formatCode>0.0%</c:formatCode>
                <c:ptCount val="12"/>
                <c:pt idx="0">
                  <c:v>0.30399999999999999</c:v>
                </c:pt>
                <c:pt idx="1">
                  <c:v>0.32400000000000001</c:v>
                </c:pt>
                <c:pt idx="2">
                  <c:v>0.33700000000000002</c:v>
                </c:pt>
                <c:pt idx="3">
                  <c:v>0.04</c:v>
                </c:pt>
                <c:pt idx="4">
                  <c:v>0.111</c:v>
                </c:pt>
                <c:pt idx="5">
                  <c:v>6.3E-2</c:v>
                </c:pt>
                <c:pt idx="6">
                  <c:v>0.29199999999999998</c:v>
                </c:pt>
                <c:pt idx="7">
                  <c:v>0.33600000000000002</c:v>
                </c:pt>
                <c:pt idx="8">
                  <c:v>0.32700000000000001</c:v>
                </c:pt>
                <c:pt idx="9">
                  <c:v>0.36399999999999999</c:v>
                </c:pt>
                <c:pt idx="10">
                  <c:v>0.22900000000000001</c:v>
                </c:pt>
                <c:pt idx="11">
                  <c:v>0.27300000000000002</c:v>
                </c:pt>
              </c:numCache>
            </c:numRef>
          </c:val>
          <c:extLst>
            <c:ext xmlns:c16="http://schemas.microsoft.com/office/drawing/2014/chart" uri="{C3380CC4-5D6E-409C-BE32-E72D297353CC}">
              <c16:uniqueId val="{00000003-D0C5-4A23-A3E7-6C959117FF22}"/>
            </c:ext>
          </c:extLst>
        </c:ser>
        <c:ser>
          <c:idx val="4"/>
          <c:order val="4"/>
          <c:tx>
            <c:strRef>
              <c:f>'Darba vietu sadalījums (2)'!$A$58</c:f>
              <c:strCache>
                <c:ptCount val="1"/>
                <c:pt idx="0">
                  <c:v>2022.gads</c:v>
                </c:pt>
              </c:strCache>
            </c:strRef>
          </c:tx>
          <c:spPr>
            <a:solidFill>
              <a:schemeClr val="accent5"/>
            </a:solidFill>
            <a:ln>
              <a:noFill/>
            </a:ln>
            <a:effectLst/>
          </c:spPr>
          <c:invertIfNegative val="0"/>
          <c:cat>
            <c:multiLvlStrRef>
              <c:f>'Darba vietu sadalījums (2)'!$B$52:$M$53</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virs 1000 EUR</c:v>
                  </c:pt>
                </c:lvl>
              </c:multiLvlStrCache>
            </c:multiLvlStrRef>
          </c:cat>
          <c:val>
            <c:numRef>
              <c:f>'Darba vietu sadalījums (2)'!$B$58:$M$58</c:f>
              <c:numCache>
                <c:formatCode>0.0%</c:formatCode>
                <c:ptCount val="12"/>
                <c:pt idx="0">
                  <c:v>0.25700000000000001</c:v>
                </c:pt>
                <c:pt idx="1">
                  <c:v>0.26700000000000002</c:v>
                </c:pt>
                <c:pt idx="2">
                  <c:v>0.307</c:v>
                </c:pt>
                <c:pt idx="3">
                  <c:v>4.2000000000000003E-2</c:v>
                </c:pt>
                <c:pt idx="4">
                  <c:v>0.124</c:v>
                </c:pt>
                <c:pt idx="5">
                  <c:v>6.5000000000000002E-2</c:v>
                </c:pt>
                <c:pt idx="6">
                  <c:v>0.28000000000000003</c:v>
                </c:pt>
                <c:pt idx="7">
                  <c:v>0.32200000000000001</c:v>
                </c:pt>
                <c:pt idx="8">
                  <c:v>0.32600000000000001</c:v>
                </c:pt>
                <c:pt idx="9">
                  <c:v>0.42099999999999999</c:v>
                </c:pt>
                <c:pt idx="10">
                  <c:v>0.28700000000000003</c:v>
                </c:pt>
                <c:pt idx="11">
                  <c:v>0.30200000000000005</c:v>
                </c:pt>
              </c:numCache>
            </c:numRef>
          </c:val>
          <c:extLst>
            <c:ext xmlns:c16="http://schemas.microsoft.com/office/drawing/2014/chart" uri="{C3380CC4-5D6E-409C-BE32-E72D297353CC}">
              <c16:uniqueId val="{00000004-D0C5-4A23-A3E7-6C959117FF22}"/>
            </c:ext>
          </c:extLst>
        </c:ser>
        <c:dLbls>
          <c:showLegendKey val="0"/>
          <c:showVal val="0"/>
          <c:showCatName val="0"/>
          <c:showSerName val="0"/>
          <c:showPercent val="0"/>
          <c:showBubbleSize val="0"/>
        </c:dLbls>
        <c:gapWidth val="219"/>
        <c:overlap val="-27"/>
        <c:axId val="-1487456528"/>
        <c:axId val="-1487458160"/>
      </c:barChart>
      <c:catAx>
        <c:axId val="-148745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58160"/>
        <c:crosses val="autoZero"/>
        <c:auto val="1"/>
        <c:lblAlgn val="ctr"/>
        <c:lblOffset val="100"/>
        <c:noMultiLvlLbl val="0"/>
      </c:catAx>
      <c:valAx>
        <c:axId val="-14874581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56528"/>
        <c:crosses val="autoZero"/>
        <c:crossBetween val="between"/>
      </c:valAx>
      <c:spPr>
        <a:noFill/>
        <a:ln>
          <a:noFill/>
        </a:ln>
        <a:effectLst/>
      </c:spPr>
    </c:plotArea>
    <c:legend>
      <c:legendPos val="b"/>
      <c:layout>
        <c:manualLayout>
          <c:xMode val="edge"/>
          <c:yMode val="edge"/>
          <c:x val="0.22061062550029306"/>
          <c:y val="0.93425371311599359"/>
          <c:w val="0.56275355027108742"/>
          <c:h val="4.87438420284119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'Darba devēju sadalījums'!$A$55</c:f>
              <c:strCache>
                <c:ptCount val="1"/>
                <c:pt idx="0">
                  <c:v>2018.gads</c:v>
                </c:pt>
              </c:strCache>
            </c:strRef>
          </c:tx>
          <c:spPr>
            <a:solidFill>
              <a:schemeClr val="accent1"/>
            </a:solidFill>
            <a:ln>
              <a:noFill/>
            </a:ln>
            <a:effectLst/>
          </c:spPr>
          <c:invertIfNegative val="0"/>
          <c:cat>
            <c:multiLvlStrRef>
              <c:f>'Darba devēju sadalījums'!$B$53:$M$54</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no 1 000 EUR</c:v>
                  </c:pt>
                </c:lvl>
              </c:multiLvlStrCache>
            </c:multiLvlStrRef>
          </c:cat>
          <c:val>
            <c:numRef>
              <c:f>'Darba devēju sadalījums'!$B$55:$M$55</c:f>
              <c:numCache>
                <c:formatCode>0.0%</c:formatCode>
                <c:ptCount val="12"/>
                <c:pt idx="0">
                  <c:v>0.54699999999999993</c:v>
                </c:pt>
                <c:pt idx="1">
                  <c:v>0.58099999999999996</c:v>
                </c:pt>
                <c:pt idx="2">
                  <c:v>0.58100000000000007</c:v>
                </c:pt>
                <c:pt idx="3">
                  <c:v>7.4999999999999997E-2</c:v>
                </c:pt>
                <c:pt idx="4">
                  <c:v>0.107</c:v>
                </c:pt>
                <c:pt idx="5">
                  <c:v>9.7000000000000003E-2</c:v>
                </c:pt>
                <c:pt idx="6">
                  <c:v>0.29299999999999998</c:v>
                </c:pt>
                <c:pt idx="7">
                  <c:v>0.28399999999999997</c:v>
                </c:pt>
                <c:pt idx="8">
                  <c:v>0.314</c:v>
                </c:pt>
                <c:pt idx="9">
                  <c:v>8.5000000000000006E-2</c:v>
                </c:pt>
                <c:pt idx="10">
                  <c:v>2.76E-2</c:v>
                </c:pt>
                <c:pt idx="11">
                  <c:v>8.0000000000000002E-3</c:v>
                </c:pt>
              </c:numCache>
            </c:numRef>
          </c:val>
          <c:extLst>
            <c:ext xmlns:c16="http://schemas.microsoft.com/office/drawing/2014/chart" uri="{C3380CC4-5D6E-409C-BE32-E72D297353CC}">
              <c16:uniqueId val="{00000000-AF74-4C7F-9349-9C972AD66F81}"/>
            </c:ext>
          </c:extLst>
        </c:ser>
        <c:ser>
          <c:idx val="1"/>
          <c:order val="1"/>
          <c:tx>
            <c:strRef>
              <c:f>'Darba devēju sadalījums'!$A$56</c:f>
              <c:strCache>
                <c:ptCount val="1"/>
                <c:pt idx="0">
                  <c:v>2019.gads</c:v>
                </c:pt>
              </c:strCache>
            </c:strRef>
          </c:tx>
          <c:spPr>
            <a:solidFill>
              <a:schemeClr val="accent2"/>
            </a:solidFill>
            <a:ln>
              <a:noFill/>
            </a:ln>
            <a:effectLst/>
          </c:spPr>
          <c:invertIfNegative val="0"/>
          <c:cat>
            <c:multiLvlStrRef>
              <c:f>'Darba devēju sadalījums'!$B$53:$M$54</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no 1 000 EUR</c:v>
                  </c:pt>
                </c:lvl>
              </c:multiLvlStrCache>
            </c:multiLvlStrRef>
          </c:cat>
          <c:val>
            <c:numRef>
              <c:f>'Darba devēju sadalījums'!$B$56:$M$56</c:f>
              <c:numCache>
                <c:formatCode>0.0%</c:formatCode>
                <c:ptCount val="12"/>
                <c:pt idx="0">
                  <c:v>0.52300000000000002</c:v>
                </c:pt>
                <c:pt idx="1">
                  <c:v>0.55600000000000005</c:v>
                </c:pt>
                <c:pt idx="2">
                  <c:v>0.54600000000000004</c:v>
                </c:pt>
                <c:pt idx="3">
                  <c:v>6.9000000000000006E-2</c:v>
                </c:pt>
                <c:pt idx="4">
                  <c:v>9.7000000000000003E-2</c:v>
                </c:pt>
                <c:pt idx="5">
                  <c:v>8.4000000000000005E-2</c:v>
                </c:pt>
                <c:pt idx="6">
                  <c:v>0.30499999999999999</c:v>
                </c:pt>
                <c:pt idx="7">
                  <c:v>0.307</c:v>
                </c:pt>
                <c:pt idx="8">
                  <c:v>0.35299999999999998</c:v>
                </c:pt>
                <c:pt idx="9">
                  <c:v>0.10300000000000001</c:v>
                </c:pt>
                <c:pt idx="10">
                  <c:v>4.0300000000000002E-2</c:v>
                </c:pt>
                <c:pt idx="11">
                  <c:v>1.7000000000000001E-2</c:v>
                </c:pt>
              </c:numCache>
            </c:numRef>
          </c:val>
          <c:extLst>
            <c:ext xmlns:c16="http://schemas.microsoft.com/office/drawing/2014/chart" uri="{C3380CC4-5D6E-409C-BE32-E72D297353CC}">
              <c16:uniqueId val="{00000001-AF74-4C7F-9349-9C972AD66F81}"/>
            </c:ext>
          </c:extLst>
        </c:ser>
        <c:ser>
          <c:idx val="2"/>
          <c:order val="2"/>
          <c:tx>
            <c:strRef>
              <c:f>'Darba devēju sadalījums'!$A$57</c:f>
              <c:strCache>
                <c:ptCount val="1"/>
                <c:pt idx="0">
                  <c:v>2020.gads</c:v>
                </c:pt>
              </c:strCache>
            </c:strRef>
          </c:tx>
          <c:spPr>
            <a:solidFill>
              <a:schemeClr val="accent3"/>
            </a:solidFill>
            <a:ln>
              <a:noFill/>
            </a:ln>
            <a:effectLst/>
          </c:spPr>
          <c:invertIfNegative val="0"/>
          <c:cat>
            <c:multiLvlStrRef>
              <c:f>'Darba devēju sadalījums'!$B$53:$M$54</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no 1 000 EUR</c:v>
                  </c:pt>
                </c:lvl>
              </c:multiLvlStrCache>
            </c:multiLvlStrRef>
          </c:cat>
          <c:val>
            <c:numRef>
              <c:f>'Darba devēju sadalījums'!$B$57:$M$57</c:f>
              <c:numCache>
                <c:formatCode>0.0%</c:formatCode>
                <c:ptCount val="12"/>
                <c:pt idx="0">
                  <c:v>0.52700000000000002</c:v>
                </c:pt>
                <c:pt idx="1">
                  <c:v>0.53600000000000003</c:v>
                </c:pt>
                <c:pt idx="2">
                  <c:v>0.53400000000000003</c:v>
                </c:pt>
                <c:pt idx="3">
                  <c:v>6.0999999999999999E-2</c:v>
                </c:pt>
                <c:pt idx="4">
                  <c:v>9.0999999999999998E-2</c:v>
                </c:pt>
                <c:pt idx="5">
                  <c:v>7.2999999999999995E-2</c:v>
                </c:pt>
                <c:pt idx="6">
                  <c:v>0.29599999999999999</c:v>
                </c:pt>
                <c:pt idx="7">
                  <c:v>0.32400000000000001</c:v>
                </c:pt>
                <c:pt idx="8">
                  <c:v>0.36699999999999999</c:v>
                </c:pt>
                <c:pt idx="9">
                  <c:v>0.11599999999999999</c:v>
                </c:pt>
                <c:pt idx="10">
                  <c:v>4.9300000000000004E-2</c:v>
                </c:pt>
                <c:pt idx="11">
                  <c:v>2.6000000000000002E-2</c:v>
                </c:pt>
              </c:numCache>
            </c:numRef>
          </c:val>
          <c:extLst>
            <c:ext xmlns:c16="http://schemas.microsoft.com/office/drawing/2014/chart" uri="{C3380CC4-5D6E-409C-BE32-E72D297353CC}">
              <c16:uniqueId val="{00000002-AF74-4C7F-9349-9C972AD66F81}"/>
            </c:ext>
          </c:extLst>
        </c:ser>
        <c:ser>
          <c:idx val="3"/>
          <c:order val="3"/>
          <c:tx>
            <c:strRef>
              <c:f>'Darba devēju sadalījums'!$A$58</c:f>
              <c:strCache>
                <c:ptCount val="1"/>
                <c:pt idx="0">
                  <c:v>2021.gads</c:v>
                </c:pt>
              </c:strCache>
            </c:strRef>
          </c:tx>
          <c:spPr>
            <a:solidFill>
              <a:schemeClr val="accent4"/>
            </a:solidFill>
            <a:ln>
              <a:noFill/>
            </a:ln>
            <a:effectLst/>
          </c:spPr>
          <c:invertIfNegative val="0"/>
          <c:cat>
            <c:multiLvlStrRef>
              <c:f>'Darba devēju sadalījums'!$B$53:$M$54</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no 1 000 EUR</c:v>
                  </c:pt>
                </c:lvl>
              </c:multiLvlStrCache>
            </c:multiLvlStrRef>
          </c:cat>
          <c:val>
            <c:numRef>
              <c:f>'Darba devēju sadalījums'!$B$58:$M$58</c:f>
              <c:numCache>
                <c:formatCode>0.0%</c:formatCode>
                <c:ptCount val="12"/>
                <c:pt idx="0">
                  <c:v>0.51600000000000001</c:v>
                </c:pt>
                <c:pt idx="1">
                  <c:v>0.49199999999999999</c:v>
                </c:pt>
                <c:pt idx="2">
                  <c:v>0.50129999999999997</c:v>
                </c:pt>
                <c:pt idx="3">
                  <c:v>8.8999999999999996E-2</c:v>
                </c:pt>
                <c:pt idx="4">
                  <c:v>0.156</c:v>
                </c:pt>
                <c:pt idx="5">
                  <c:v>0.126</c:v>
                </c:pt>
                <c:pt idx="6">
                  <c:v>0.255</c:v>
                </c:pt>
                <c:pt idx="7">
                  <c:v>0.28899999999999998</c:v>
                </c:pt>
                <c:pt idx="8">
                  <c:v>0.33800000000000002</c:v>
                </c:pt>
                <c:pt idx="9">
                  <c:v>0.14000000000000001</c:v>
                </c:pt>
                <c:pt idx="10">
                  <c:v>6.3300000000000009E-2</c:v>
                </c:pt>
                <c:pt idx="11">
                  <c:v>3.4700000000000002E-2</c:v>
                </c:pt>
              </c:numCache>
            </c:numRef>
          </c:val>
          <c:extLst>
            <c:ext xmlns:c16="http://schemas.microsoft.com/office/drawing/2014/chart" uri="{C3380CC4-5D6E-409C-BE32-E72D297353CC}">
              <c16:uniqueId val="{00000003-AF74-4C7F-9349-9C972AD66F81}"/>
            </c:ext>
          </c:extLst>
        </c:ser>
        <c:ser>
          <c:idx val="4"/>
          <c:order val="4"/>
          <c:tx>
            <c:strRef>
              <c:f>'Darba devēju sadalījums'!$A$59</c:f>
              <c:strCache>
                <c:ptCount val="1"/>
                <c:pt idx="0">
                  <c:v>2022.gads</c:v>
                </c:pt>
              </c:strCache>
            </c:strRef>
          </c:tx>
          <c:spPr>
            <a:solidFill>
              <a:schemeClr val="accent5"/>
            </a:solidFill>
            <a:ln>
              <a:noFill/>
            </a:ln>
            <a:effectLst/>
          </c:spPr>
          <c:invertIfNegative val="0"/>
          <c:cat>
            <c:multiLvlStrRef>
              <c:f>'Darba devēju sadalījums'!$B$53:$M$54</c:f>
              <c:multiLvlStrCache>
                <c:ptCount val="12"/>
                <c:lvl>
                  <c:pt idx="0">
                    <c:v>Vidēji valstī</c:v>
                  </c:pt>
                  <c:pt idx="1">
                    <c:v>Lauksaimnieki</c:v>
                  </c:pt>
                  <c:pt idx="2">
                    <c:v>Augļu, ogu, dārzeņu audzētāji</c:v>
                  </c:pt>
                  <c:pt idx="3">
                    <c:v>Vidēji valstī</c:v>
                  </c:pt>
                  <c:pt idx="4">
                    <c:v>Lauksaimnieki</c:v>
                  </c:pt>
                  <c:pt idx="5">
                    <c:v>Augļu, ogu, dārzeņu audzētāji</c:v>
                  </c:pt>
                  <c:pt idx="6">
                    <c:v>Vidēji valstī</c:v>
                  </c:pt>
                  <c:pt idx="7">
                    <c:v>Lauksaimnieki</c:v>
                  </c:pt>
                  <c:pt idx="8">
                    <c:v>Augļu, ogu, dārzeņu audzētāji</c:v>
                  </c:pt>
                  <c:pt idx="9">
                    <c:v>Vidēji valstī</c:v>
                  </c:pt>
                  <c:pt idx="10">
                    <c:v>Lauksaimnieki</c:v>
                  </c:pt>
                  <c:pt idx="11">
                    <c:v>Augļu, ogu, dārzeņu audzētāji</c:v>
                  </c:pt>
                </c:lvl>
                <c:lvl>
                  <c:pt idx="0">
                    <c:v>mazāks par valstī noteikto  minimālo darba algu</c:v>
                  </c:pt>
                  <c:pt idx="3">
                    <c:v>vienāds ar valstī noteikto minimālo darba algu</c:v>
                  </c:pt>
                  <c:pt idx="6">
                    <c:v>no valstī noteiktās minimālās darba algas  līdz 1 000 EUR</c:v>
                  </c:pt>
                  <c:pt idx="9">
                    <c:v>no 1 000 EUR</c:v>
                  </c:pt>
                </c:lvl>
              </c:multiLvlStrCache>
            </c:multiLvlStrRef>
          </c:cat>
          <c:val>
            <c:numRef>
              <c:f>'Darba devēju sadalījums'!$B$59:$M$59</c:f>
              <c:numCache>
                <c:formatCode>0.0%</c:formatCode>
                <c:ptCount val="12"/>
                <c:pt idx="0">
                  <c:v>0.436</c:v>
                </c:pt>
                <c:pt idx="1">
                  <c:v>0.39200000000000002</c:v>
                </c:pt>
                <c:pt idx="2">
                  <c:v>0.43099999999999999</c:v>
                </c:pt>
                <c:pt idx="3">
                  <c:v>0.11700000000000001</c:v>
                </c:pt>
                <c:pt idx="4">
                  <c:v>0.20100000000000001</c:v>
                </c:pt>
                <c:pt idx="5">
                  <c:v>0.153</c:v>
                </c:pt>
                <c:pt idx="6">
                  <c:v>0.27800000000000002</c:v>
                </c:pt>
                <c:pt idx="7">
                  <c:v>0.312</c:v>
                </c:pt>
                <c:pt idx="8">
                  <c:v>0.35599999999999998</c:v>
                </c:pt>
                <c:pt idx="9">
                  <c:v>0.16900000000000004</c:v>
                </c:pt>
                <c:pt idx="10">
                  <c:v>9.4700000000000006E-2</c:v>
                </c:pt>
                <c:pt idx="11">
                  <c:v>6.0299999999999999E-2</c:v>
                </c:pt>
              </c:numCache>
            </c:numRef>
          </c:val>
          <c:extLst>
            <c:ext xmlns:c16="http://schemas.microsoft.com/office/drawing/2014/chart" uri="{C3380CC4-5D6E-409C-BE32-E72D297353CC}">
              <c16:uniqueId val="{00000004-AF74-4C7F-9349-9C972AD66F81}"/>
            </c:ext>
          </c:extLst>
        </c:ser>
        <c:dLbls>
          <c:showLegendKey val="0"/>
          <c:showVal val="0"/>
          <c:showCatName val="0"/>
          <c:showSerName val="0"/>
          <c:showPercent val="0"/>
          <c:showBubbleSize val="0"/>
        </c:dLbls>
        <c:gapWidth val="219"/>
        <c:overlap val="-27"/>
        <c:axId val="-1487453264"/>
        <c:axId val="-1487452176"/>
      </c:barChart>
      <c:catAx>
        <c:axId val="-148745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52176"/>
        <c:crosses val="autoZero"/>
        <c:auto val="1"/>
        <c:lblAlgn val="ctr"/>
        <c:lblOffset val="100"/>
        <c:noMultiLvlLbl val="0"/>
      </c:catAx>
      <c:valAx>
        <c:axId val="-14874521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53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spcAft>
          <a:spcPts val="600"/>
        </a:spcAft>
        <a:defRPr/>
      </a:pPr>
      <a:endParaRPr lang="lv-LV"/>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880557193210103E-2"/>
          <c:y val="5.0925925925925923E-2"/>
          <c:w val="0.87998240074437473"/>
          <c:h val="0.75891951006124247"/>
        </c:manualLayout>
      </c:layout>
      <c:barChart>
        <c:barDir val="col"/>
        <c:grouping val="clustered"/>
        <c:varyColors val="0"/>
        <c:ser>
          <c:idx val="0"/>
          <c:order val="0"/>
          <c:tx>
            <c:strRef>
              <c:f>'TM dekl. plat.'!$B$25</c:f>
              <c:strCache>
                <c:ptCount val="1"/>
                <c:pt idx="0">
                  <c:v>2017</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'TM dekl. plat.'!$A$26:$A$28</c:f>
              <c:strCache>
                <c:ptCount val="3"/>
                <c:pt idx="0">
                  <c:v>Dārzeņi</c:v>
                </c:pt>
                <c:pt idx="1">
                  <c:v>Augļi un ogas</c:v>
                </c:pt>
                <c:pt idx="2">
                  <c:v>Kartupeļi</c:v>
                </c:pt>
              </c:strCache>
            </c:strRef>
          </c:cat>
          <c:val>
            <c:numRef>
              <c:f>'TM dekl. plat.'!$B$26:$B$28</c:f>
              <c:numCache>
                <c:formatCode>General</c:formatCode>
                <c:ptCount val="3"/>
                <c:pt idx="0">
                  <c:v>3124</c:v>
                </c:pt>
                <c:pt idx="1">
                  <c:v>8011</c:v>
                </c:pt>
                <c:pt idx="2">
                  <c:v>8424.2400000000707</c:v>
                </c:pt>
              </c:numCache>
            </c:numRef>
          </c:val>
          <c:extLst>
            <c:ext xmlns:c16="http://schemas.microsoft.com/office/drawing/2014/chart" uri="{C3380CC4-5D6E-409C-BE32-E72D297353CC}">
              <c16:uniqueId val="{00000000-794D-413E-ADB3-9A15F490141F}"/>
            </c:ext>
          </c:extLst>
        </c:ser>
        <c:ser>
          <c:idx val="1"/>
          <c:order val="1"/>
          <c:tx>
            <c:strRef>
              <c:f>'TM dekl. plat.'!$C$25</c:f>
              <c:strCache>
                <c:ptCount val="1"/>
              </c:strCache>
            </c:strRef>
          </c:tx>
          <c:spPr>
            <a:solidFill>
              <a:schemeClr val="accent2"/>
            </a:solidFill>
            <a:ln>
              <a:noFill/>
            </a:ln>
            <a:effectLst/>
          </c:spPr>
          <c:invertIfNegative val="0"/>
          <c:cat>
            <c:strRef>
              <c:f>'TM dekl. plat.'!$A$26:$A$28</c:f>
              <c:strCache>
                <c:ptCount val="3"/>
                <c:pt idx="0">
                  <c:v>Dārzeņi</c:v>
                </c:pt>
                <c:pt idx="1">
                  <c:v>Augļi un ogas</c:v>
                </c:pt>
                <c:pt idx="2">
                  <c:v>Kartupeļi</c:v>
                </c:pt>
              </c:strCache>
            </c:strRef>
          </c:cat>
          <c:val>
            <c:numRef>
              <c:f>'TM dekl. plat.'!$C$26:$C$28</c:f>
            </c:numRef>
          </c:val>
          <c:extLst>
            <c:ext xmlns:c16="http://schemas.microsoft.com/office/drawing/2014/chart" uri="{C3380CC4-5D6E-409C-BE32-E72D297353CC}">
              <c16:uniqueId val="{00000001-794D-413E-ADB3-9A15F490141F}"/>
            </c:ext>
          </c:extLst>
        </c:ser>
        <c:ser>
          <c:idx val="2"/>
          <c:order val="2"/>
          <c:tx>
            <c:strRef>
              <c:f>'TM dekl. plat.'!$D$25</c:f>
              <c:strCache>
                <c:ptCount val="1"/>
                <c:pt idx="0">
                  <c:v>2022</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'TM dekl. plat.'!$A$26:$A$28</c:f>
              <c:strCache>
                <c:ptCount val="3"/>
                <c:pt idx="0">
                  <c:v>Dārzeņi</c:v>
                </c:pt>
                <c:pt idx="1">
                  <c:v>Augļi un ogas</c:v>
                </c:pt>
                <c:pt idx="2">
                  <c:v>Kartupeļi</c:v>
                </c:pt>
              </c:strCache>
            </c:strRef>
          </c:cat>
          <c:val>
            <c:numRef>
              <c:f>'TM dekl. plat.'!$D$26:$D$28</c:f>
              <c:numCache>
                <c:formatCode>General</c:formatCode>
                <c:ptCount val="3"/>
                <c:pt idx="0">
                  <c:v>3478</c:v>
                </c:pt>
                <c:pt idx="1">
                  <c:v>10092</c:v>
                </c:pt>
                <c:pt idx="2">
                  <c:v>6955</c:v>
                </c:pt>
              </c:numCache>
            </c:numRef>
          </c:val>
          <c:extLst>
            <c:ext xmlns:c16="http://schemas.microsoft.com/office/drawing/2014/chart" uri="{C3380CC4-5D6E-409C-BE32-E72D297353CC}">
              <c16:uniqueId val="{00000002-794D-413E-ADB3-9A15F490141F}"/>
            </c:ext>
          </c:extLst>
        </c:ser>
        <c:dLbls>
          <c:showLegendKey val="0"/>
          <c:showVal val="0"/>
          <c:showCatName val="0"/>
          <c:showSerName val="0"/>
          <c:showPercent val="0"/>
          <c:showBubbleSize val="0"/>
        </c:dLbls>
        <c:gapWidth val="219"/>
        <c:overlap val="-27"/>
        <c:axId val="-1487467408"/>
        <c:axId val="-1487462512"/>
      </c:barChart>
      <c:catAx>
        <c:axId val="-148746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62512"/>
        <c:crosses val="autoZero"/>
        <c:auto val="1"/>
        <c:lblAlgn val="ctr"/>
        <c:lblOffset val="100"/>
        <c:noMultiLvlLbl val="0"/>
      </c:catAx>
      <c:valAx>
        <c:axId val="-148746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8746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0.5983</cdr:x>
      <cdr:y>0.50589</cdr:y>
    </cdr:from>
    <cdr:to>
      <cdr:x>0.67315</cdr:x>
      <cdr:y>0.5672</cdr:y>
    </cdr:to>
    <cdr:sp macro="" textlink="">
      <cdr:nvSpPr>
        <cdr:cNvPr id="4" name="Taisnstūris 33">
          <a:extLst xmlns:a="http://schemas.openxmlformats.org/drawingml/2006/main">
            <a:ext uri="{FF2B5EF4-FFF2-40B4-BE49-F238E27FC236}">
              <a16:creationId xmlns:a16="http://schemas.microsoft.com/office/drawing/2014/main" id="{51440574-3BEE-3699-875C-8DD845FD6BE5}"/>
            </a:ext>
          </a:extLst>
        </cdr:cNvPr>
        <cdr:cNvSpPr/>
      </cdr:nvSpPr>
      <cdr:spPr>
        <a:xfrm xmlns:a="http://schemas.openxmlformats.org/drawingml/2006/main">
          <a:off x="3446263" y="1944778"/>
          <a:ext cx="431145" cy="235715"/>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a:solidFill>
            <a:schemeClr val="accent3">
              <a:lumMod val="20000"/>
              <a:lumOff val="8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lnSpc>
              <a:spcPct val="107000"/>
            </a:lnSpc>
            <a:spcAft>
              <a:spcPts val="800"/>
            </a:spcAft>
          </a:pPr>
          <a:r>
            <a:rPr lang="lv-LV" sz="900">
              <a:solidFill>
                <a:srgbClr val="000000"/>
              </a:solidFill>
              <a:effectLst/>
              <a:latin typeface="Times New Roman" panose="02020603050405020304" pitchFamily="18" charset="0"/>
              <a:ea typeface="Calibri" panose="020F0502020204030204" pitchFamily="34" charset="0"/>
              <a:cs typeface="Arial" panose="020B0604020202020204" pitchFamily="34" charset="0"/>
            </a:rPr>
            <a:t>4,6%</a:t>
          </a:r>
          <a:endParaRPr lang="lv-LV" sz="11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0.75905</cdr:x>
      <cdr:y>0.475</cdr:y>
    </cdr:from>
    <cdr:to>
      <cdr:x>0.83648</cdr:x>
      <cdr:y>0.53061</cdr:y>
    </cdr:to>
    <cdr:sp macro="" textlink="">
      <cdr:nvSpPr>
        <cdr:cNvPr id="5" name="Taisnstūris 33">
          <a:extLst xmlns:a="http://schemas.openxmlformats.org/drawingml/2006/main">
            <a:ext uri="{FF2B5EF4-FFF2-40B4-BE49-F238E27FC236}">
              <a16:creationId xmlns:a16="http://schemas.microsoft.com/office/drawing/2014/main" id="{85650096-096B-D89D-C6D9-A8AA342B1D6D}"/>
            </a:ext>
          </a:extLst>
        </cdr:cNvPr>
        <cdr:cNvSpPr/>
      </cdr:nvSpPr>
      <cdr:spPr>
        <a:xfrm xmlns:a="http://schemas.openxmlformats.org/drawingml/2006/main">
          <a:off x="4372175" y="1826043"/>
          <a:ext cx="446008" cy="213772"/>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a:solidFill>
            <a:schemeClr val="accent3">
              <a:lumMod val="20000"/>
              <a:lumOff val="8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lnSpc>
              <a:spcPct val="107000"/>
            </a:lnSpc>
            <a:spcAft>
              <a:spcPts val="800"/>
            </a:spcAft>
          </a:pPr>
          <a:r>
            <a:rPr lang="lv-LV" sz="900">
              <a:solidFill>
                <a:srgbClr val="000000"/>
              </a:solidFill>
              <a:effectLst/>
              <a:latin typeface="Times New Roman" panose="02020603050405020304" pitchFamily="18" charset="0"/>
              <a:ea typeface="Calibri" panose="020F0502020204030204" pitchFamily="34" charset="0"/>
              <a:cs typeface="Arial" panose="020B0604020202020204" pitchFamily="34" charset="0"/>
            </a:rPr>
            <a:t>9,4%</a:t>
          </a:r>
          <a:endParaRPr lang="lv-LV" sz="11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0.45822</cdr:x>
      <cdr:y>0.5423</cdr:y>
    </cdr:from>
    <cdr:to>
      <cdr:x>0.53425</cdr:x>
      <cdr:y>0.60151</cdr:y>
    </cdr:to>
    <cdr:sp macro="" textlink="">
      <cdr:nvSpPr>
        <cdr:cNvPr id="3" name="Taisnstūris 33">
          <a:extLst xmlns:a="http://schemas.openxmlformats.org/drawingml/2006/main">
            <a:ext uri="{FF2B5EF4-FFF2-40B4-BE49-F238E27FC236}">
              <a16:creationId xmlns:a16="http://schemas.microsoft.com/office/drawing/2014/main" id="{3DCDEB61-BA0F-A763-0B9D-4CFA37D4398D}"/>
            </a:ext>
          </a:extLst>
        </cdr:cNvPr>
        <cdr:cNvSpPr/>
      </cdr:nvSpPr>
      <cdr:spPr>
        <a:xfrm xmlns:a="http://schemas.openxmlformats.org/drawingml/2006/main">
          <a:off x="2639365" y="2084777"/>
          <a:ext cx="437942" cy="227601"/>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a:solidFill>
            <a:schemeClr val="accent3">
              <a:lumMod val="20000"/>
              <a:lumOff val="8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lv-LV" sz="900">
              <a:solidFill>
                <a:srgbClr val="000000"/>
              </a:solidFill>
              <a:effectLst/>
              <a:latin typeface="Times New Roman" panose="02020603050405020304" pitchFamily="18" charset="0"/>
              <a:ea typeface="Calibri" panose="020F0502020204030204" pitchFamily="34" charset="0"/>
              <a:cs typeface="Arial" panose="020B0604020202020204" pitchFamily="34" charset="0"/>
            </a:rPr>
            <a:t>8,6%</a:t>
          </a:r>
          <a:endParaRPr lang="lv-LV" sz="11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0.91097</cdr:x>
      <cdr:y>0.43711</cdr:y>
    </cdr:from>
    <cdr:to>
      <cdr:x>0.98607</cdr:x>
      <cdr:y>0.4963</cdr:y>
    </cdr:to>
    <cdr:sp macro="" textlink="">
      <cdr:nvSpPr>
        <cdr:cNvPr id="6" name="Taisnstūris 33">
          <a:extLst xmlns:a="http://schemas.openxmlformats.org/drawingml/2006/main">
            <a:ext uri="{FF2B5EF4-FFF2-40B4-BE49-F238E27FC236}">
              <a16:creationId xmlns:a16="http://schemas.microsoft.com/office/drawing/2014/main" id="{85650096-096B-D89D-C6D9-A8AA342B1D6D}"/>
            </a:ext>
          </a:extLst>
        </cdr:cNvPr>
        <cdr:cNvSpPr/>
      </cdr:nvSpPr>
      <cdr:spPr>
        <a:xfrm xmlns:a="http://schemas.openxmlformats.org/drawingml/2006/main">
          <a:off x="5247261" y="1680396"/>
          <a:ext cx="432571" cy="227536"/>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a:solidFill>
            <a:schemeClr val="accent3">
              <a:lumMod val="20000"/>
              <a:lumOff val="8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lnSpc>
              <a:spcPct val="107000"/>
            </a:lnSpc>
            <a:spcAft>
              <a:spcPts val="800"/>
            </a:spcAft>
          </a:pPr>
          <a:r>
            <a:rPr lang="lv-LV" sz="900">
              <a:solidFill>
                <a:srgbClr val="000000"/>
              </a:solidFill>
              <a:effectLst/>
              <a:latin typeface="Times New Roman" panose="02020603050405020304" pitchFamily="18" charset="0"/>
              <a:ea typeface="Calibri" panose="020F0502020204030204" pitchFamily="34" charset="0"/>
              <a:cs typeface="Arial" panose="020B0604020202020204" pitchFamily="34" charset="0"/>
            </a:rPr>
            <a:t>4,4%</a:t>
          </a:r>
          <a:endParaRPr lang="lv-LV" sz="11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0.28731</cdr:x>
      <cdr:y>0.57142</cdr:y>
    </cdr:from>
    <cdr:to>
      <cdr:x>0.37372</cdr:x>
      <cdr:y>0.63334</cdr:y>
    </cdr:to>
    <cdr:sp macro="" textlink="">
      <cdr:nvSpPr>
        <cdr:cNvPr id="2" name="Taisnstūris 33">
          <a:extLst xmlns:a="http://schemas.openxmlformats.org/drawingml/2006/main">
            <a:ext uri="{FF2B5EF4-FFF2-40B4-BE49-F238E27FC236}">
              <a16:creationId xmlns:a16="http://schemas.microsoft.com/office/drawing/2014/main" id="{58551DF8-2DC4-D606-464C-3E530A3F705C}"/>
            </a:ext>
          </a:extLst>
        </cdr:cNvPr>
        <cdr:cNvSpPr/>
      </cdr:nvSpPr>
      <cdr:spPr>
        <a:xfrm xmlns:a="http://schemas.openxmlformats.org/drawingml/2006/main">
          <a:off x="1654926" y="2196713"/>
          <a:ext cx="497729" cy="238038"/>
        </a:xfrm>
        <a:prstGeom xmlns:a="http://schemas.openxmlformats.org/drawingml/2006/main" prst="rect">
          <a:avLst/>
        </a:prstGeom>
        <a:solidFill xmlns:a="http://schemas.openxmlformats.org/drawingml/2006/main">
          <a:schemeClr val="accent3">
            <a:lumMod val="20000"/>
            <a:lumOff val="80000"/>
          </a:schemeClr>
        </a:solidFill>
        <a:ln xmlns:a="http://schemas.openxmlformats.org/drawingml/2006/main">
          <a:solidFill>
            <a:schemeClr val="accent3">
              <a:lumMod val="20000"/>
              <a:lumOff val="8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lnSpc>
              <a:spcPct val="107000"/>
            </a:lnSpc>
            <a:spcAft>
              <a:spcPts val="800"/>
            </a:spcAft>
          </a:pPr>
          <a:r>
            <a:rPr lang="lv-LV" sz="900">
              <a:solidFill>
                <a:srgbClr val="000000"/>
              </a:solidFill>
              <a:effectLst/>
              <a:latin typeface="Times New Roman" panose="02020603050405020304" pitchFamily="18" charset="0"/>
              <a:ea typeface="Calibri" panose="020F0502020204030204" pitchFamily="34" charset="0"/>
              <a:cs typeface="Arial" panose="020B0604020202020204" pitchFamily="34" charset="0"/>
            </a:rPr>
            <a:t>19,8%</a:t>
          </a:r>
          <a:endParaRPr lang="lv-LV" sz="1100">
            <a:effectLst/>
            <a:ea typeface="Calibri" panose="020F0502020204030204" pitchFamily="34" charset="0"/>
            <a:cs typeface="Arial" panose="020B0604020202020204" pitchFamily="34" charset="0"/>
          </a:endParaRPr>
        </a:p>
      </cdr:txBody>
    </cdr:sp>
  </cdr:relSizeAnchor>
  <cdr:relSizeAnchor xmlns:cdr="http://schemas.openxmlformats.org/drawingml/2006/chartDrawing">
    <cdr:from>
      <cdr:x>0.19233</cdr:x>
      <cdr:y>0.63459</cdr:y>
    </cdr:from>
    <cdr:to>
      <cdr:x>0.31046</cdr:x>
      <cdr:y>0.68613</cdr:y>
    </cdr:to>
    <cdr:cxnSp macro="">
      <cdr:nvCxnSpPr>
        <cdr:cNvPr id="8" name="Straight Arrow Connector 7"/>
        <cdr:cNvCxnSpPr/>
      </cdr:nvCxnSpPr>
      <cdr:spPr>
        <a:xfrm xmlns:a="http://schemas.openxmlformats.org/drawingml/2006/main" flipV="1">
          <a:off x="1107831" y="2439549"/>
          <a:ext cx="680432" cy="198144"/>
        </a:xfrm>
        <a:prstGeom xmlns:a="http://schemas.openxmlformats.org/drawingml/2006/main" prst="straightConnector1">
          <a:avLst/>
        </a:prstGeom>
        <a:ln xmlns:a="http://schemas.openxmlformats.org/drawingml/2006/main">
          <a:solidFill>
            <a:schemeClr val="bg2">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0.34158</cdr:x>
      <cdr:y>0.59749</cdr:y>
    </cdr:from>
    <cdr:to>
      <cdr:x>0.45971</cdr:x>
      <cdr:y>0.64903</cdr:y>
    </cdr:to>
    <cdr:cxnSp macro="">
      <cdr:nvCxnSpPr>
        <cdr:cNvPr id="9" name="Straight Arrow Connector 8"/>
        <cdr:cNvCxnSpPr/>
      </cdr:nvCxnSpPr>
      <cdr:spPr>
        <a:xfrm xmlns:a="http://schemas.openxmlformats.org/drawingml/2006/main" flipV="1">
          <a:off x="1967524" y="2296918"/>
          <a:ext cx="680432" cy="198144"/>
        </a:xfrm>
        <a:prstGeom xmlns:a="http://schemas.openxmlformats.org/drawingml/2006/main" prst="straightConnector1">
          <a:avLst/>
        </a:prstGeom>
        <a:ln xmlns:a="http://schemas.openxmlformats.org/drawingml/2006/main">
          <a:solidFill>
            <a:schemeClr val="bg2">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0.64347</cdr:x>
      <cdr:y>0.51922</cdr:y>
    </cdr:from>
    <cdr:to>
      <cdr:x>0.7616</cdr:x>
      <cdr:y>0.57076</cdr:y>
    </cdr:to>
    <cdr:cxnSp macro="">
      <cdr:nvCxnSpPr>
        <cdr:cNvPr id="11" name="Straight Arrow Connector 10"/>
        <cdr:cNvCxnSpPr/>
      </cdr:nvCxnSpPr>
      <cdr:spPr>
        <a:xfrm xmlns:a="http://schemas.openxmlformats.org/drawingml/2006/main" flipV="1">
          <a:off x="3706446" y="1996026"/>
          <a:ext cx="680432" cy="198144"/>
        </a:xfrm>
        <a:prstGeom xmlns:a="http://schemas.openxmlformats.org/drawingml/2006/main" prst="straightConnector1">
          <a:avLst/>
        </a:prstGeom>
        <a:ln xmlns:a="http://schemas.openxmlformats.org/drawingml/2006/main">
          <a:solidFill>
            <a:schemeClr val="bg2">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0.48964</cdr:x>
      <cdr:y>0.56776</cdr:y>
    </cdr:from>
    <cdr:to>
      <cdr:x>0.60777</cdr:x>
      <cdr:y>0.6193</cdr:y>
    </cdr:to>
    <cdr:cxnSp macro="">
      <cdr:nvCxnSpPr>
        <cdr:cNvPr id="10" name="Straight Arrow Connector 9"/>
        <cdr:cNvCxnSpPr/>
      </cdr:nvCxnSpPr>
      <cdr:spPr>
        <a:xfrm xmlns:a="http://schemas.openxmlformats.org/drawingml/2006/main" flipV="1">
          <a:off x="2820377" y="2182618"/>
          <a:ext cx="680432" cy="198144"/>
        </a:xfrm>
        <a:prstGeom xmlns:a="http://schemas.openxmlformats.org/drawingml/2006/main" prst="straightConnector1">
          <a:avLst/>
        </a:prstGeom>
        <a:ln xmlns:a="http://schemas.openxmlformats.org/drawingml/2006/main">
          <a:solidFill>
            <a:schemeClr val="bg2">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0.79764</cdr:x>
      <cdr:y>0.48491</cdr:y>
    </cdr:from>
    <cdr:to>
      <cdr:x>0.91577</cdr:x>
      <cdr:y>0.53645</cdr:y>
    </cdr:to>
    <cdr:cxnSp macro="">
      <cdr:nvCxnSpPr>
        <cdr:cNvPr id="12" name="Straight Arrow Connector 11"/>
        <cdr:cNvCxnSpPr/>
      </cdr:nvCxnSpPr>
      <cdr:spPr>
        <a:xfrm xmlns:a="http://schemas.openxmlformats.org/drawingml/2006/main" flipV="1">
          <a:off x="4594469" y="1864141"/>
          <a:ext cx="680432" cy="198144"/>
        </a:xfrm>
        <a:prstGeom xmlns:a="http://schemas.openxmlformats.org/drawingml/2006/main" prst="straightConnector1">
          <a:avLst/>
        </a:prstGeom>
        <a:ln xmlns:a="http://schemas.openxmlformats.org/drawingml/2006/main">
          <a:solidFill>
            <a:schemeClr val="bg2">
              <a:lumMod val="50000"/>
            </a:schemeClr>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0.24226</cdr:x>
      <cdr:y>0.06286</cdr:y>
    </cdr:from>
    <cdr:to>
      <cdr:x>0.29892</cdr:x>
      <cdr:y>0.11438</cdr:y>
    </cdr:to>
    <cdr:sp macro="" textlink="">
      <cdr:nvSpPr>
        <cdr:cNvPr id="2" name="TextBox 3">
          <a:extLst xmlns:a="http://schemas.openxmlformats.org/drawingml/2006/main">
            <a:ext uri="{FF2B5EF4-FFF2-40B4-BE49-F238E27FC236}">
              <a16:creationId xmlns:a16="http://schemas.microsoft.com/office/drawing/2014/main" id="{AAB3344D-94E4-3E7D-A54C-750DECF0ADEF}"/>
            </a:ext>
          </a:extLst>
        </cdr:cNvPr>
        <cdr:cNvSpPr txBox="1"/>
      </cdr:nvSpPr>
      <cdr:spPr>
        <a:xfrm xmlns:a="http://schemas.openxmlformats.org/drawingml/2006/main">
          <a:off x="1548041" y="276386"/>
          <a:ext cx="362039" cy="226534"/>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-6%</a:t>
          </a:r>
          <a:r>
            <a:rPr lang="lv-LV" sz="900" b="1"/>
            <a:t> </a:t>
          </a:r>
        </a:p>
      </cdr:txBody>
    </cdr:sp>
  </cdr:relSizeAnchor>
  <cdr:relSizeAnchor xmlns:cdr="http://schemas.openxmlformats.org/drawingml/2006/chartDrawing">
    <cdr:from>
      <cdr:x>0.45616</cdr:x>
      <cdr:y>0.38101</cdr:y>
    </cdr:from>
    <cdr:to>
      <cdr:x>0.51992</cdr:x>
      <cdr:y>0.43443</cdr:y>
    </cdr:to>
    <cdr:sp macro="" textlink="">
      <cdr:nvSpPr>
        <cdr:cNvPr id="5" name="TextBox 3">
          <a:extLst xmlns:a="http://schemas.openxmlformats.org/drawingml/2006/main">
            <a:ext uri="{FF2B5EF4-FFF2-40B4-BE49-F238E27FC236}">
              <a16:creationId xmlns:a16="http://schemas.microsoft.com/office/drawing/2014/main" id="{FD42FA8B-2228-3109-B58C-575B765B67D6}"/>
            </a:ext>
          </a:extLst>
        </cdr:cNvPr>
        <cdr:cNvSpPr txBox="1"/>
      </cdr:nvSpPr>
      <cdr:spPr>
        <a:xfrm xmlns:a="http://schemas.openxmlformats.org/drawingml/2006/main">
          <a:off x="2914833" y="1675208"/>
          <a:ext cx="407487" cy="234872"/>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+2%</a:t>
          </a:r>
          <a:r>
            <a:rPr lang="lv-LV" sz="900" b="1"/>
            <a:t> </a:t>
          </a:r>
        </a:p>
      </cdr:txBody>
    </cdr:sp>
  </cdr:relSizeAnchor>
  <cdr:relSizeAnchor xmlns:cdr="http://schemas.openxmlformats.org/drawingml/2006/chartDrawing">
    <cdr:from>
      <cdr:x>0.68631</cdr:x>
      <cdr:y>0.02973</cdr:y>
    </cdr:from>
    <cdr:to>
      <cdr:x>0.7465</cdr:x>
      <cdr:y>0.08319</cdr:y>
    </cdr:to>
    <cdr:sp macro="" textlink="">
      <cdr:nvSpPr>
        <cdr:cNvPr id="3" name="TextBox 3">
          <a:extLst xmlns:a="http://schemas.openxmlformats.org/drawingml/2006/main">
            <a:ext uri="{FF2B5EF4-FFF2-40B4-BE49-F238E27FC236}">
              <a16:creationId xmlns:a16="http://schemas.microsoft.com/office/drawing/2014/main" id="{31F11AC8-32DB-DE19-8D8B-F64BC8D22262}"/>
            </a:ext>
          </a:extLst>
        </cdr:cNvPr>
        <cdr:cNvSpPr txBox="1"/>
      </cdr:nvSpPr>
      <cdr:spPr>
        <a:xfrm xmlns:a="http://schemas.openxmlformats.org/drawingml/2006/main">
          <a:off x="4385524" y="130696"/>
          <a:ext cx="384596" cy="235064"/>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-7%</a:t>
          </a:r>
          <a:r>
            <a:rPr lang="lv-LV" sz="900" b="1"/>
            <a:t> </a:t>
          </a:r>
        </a:p>
      </cdr:txBody>
    </cdr:sp>
  </cdr:relSizeAnchor>
  <cdr:relSizeAnchor xmlns:cdr="http://schemas.openxmlformats.org/drawingml/2006/chartDrawing">
    <cdr:from>
      <cdr:x>0.90401</cdr:x>
      <cdr:y>0.13865</cdr:y>
    </cdr:from>
    <cdr:to>
      <cdr:x>0.97386</cdr:x>
      <cdr:y>0.19467</cdr:y>
    </cdr:to>
    <cdr:sp macro="" textlink="">
      <cdr:nvSpPr>
        <cdr:cNvPr id="13" name="TextBox 3">
          <a:extLst xmlns:a="http://schemas.openxmlformats.org/drawingml/2006/main">
            <a:ext uri="{FF2B5EF4-FFF2-40B4-BE49-F238E27FC236}">
              <a16:creationId xmlns:a16="http://schemas.microsoft.com/office/drawing/2014/main" id="{FDE00CE0-5C28-FD27-8FB3-27B495111C2B}"/>
            </a:ext>
          </a:extLst>
        </cdr:cNvPr>
        <cdr:cNvSpPr txBox="1"/>
      </cdr:nvSpPr>
      <cdr:spPr>
        <a:xfrm xmlns:a="http://schemas.openxmlformats.org/drawingml/2006/main">
          <a:off x="5776630" y="609600"/>
          <a:ext cx="446370" cy="246303"/>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+11%</a:t>
          </a:r>
          <a:endParaRPr lang="lv-LV" sz="900" b="1"/>
        </a:p>
      </cdr:txBody>
    </cdr:sp>
  </cdr:relSizeAnchor>
  <cdr:relSizeAnchor xmlns:cdr="http://schemas.openxmlformats.org/drawingml/2006/chartDrawing">
    <cdr:from>
      <cdr:x>0.08258</cdr:x>
      <cdr:y>0.11799</cdr:y>
    </cdr:from>
    <cdr:to>
      <cdr:x>0.14071</cdr:x>
      <cdr:y>0.16291</cdr:y>
    </cdr:to>
    <cdr:sp macro="" textlink="">
      <cdr:nvSpPr>
        <cdr:cNvPr id="14" name="TextBox 3">
          <a:extLst xmlns:a="http://schemas.openxmlformats.org/drawingml/2006/main">
            <a:ext uri="{FF2B5EF4-FFF2-40B4-BE49-F238E27FC236}">
              <a16:creationId xmlns:a16="http://schemas.microsoft.com/office/drawing/2014/main" id="{0E3A8525-4F0B-4E81-9623-D77D4352EADF}"/>
            </a:ext>
          </a:extLst>
        </cdr:cNvPr>
        <cdr:cNvSpPr txBox="1"/>
      </cdr:nvSpPr>
      <cdr:spPr>
        <a:xfrm xmlns:a="http://schemas.openxmlformats.org/drawingml/2006/main">
          <a:off x="527685" y="518756"/>
          <a:ext cx="371475" cy="197524"/>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-5%</a:t>
          </a:r>
          <a:r>
            <a:rPr lang="lv-LV" sz="900" b="1"/>
            <a:t> </a:t>
          </a:r>
        </a:p>
      </cdr:txBody>
    </cdr:sp>
  </cdr:relSizeAnchor>
  <cdr:relSizeAnchor xmlns:cdr="http://schemas.openxmlformats.org/drawingml/2006/chartDrawing">
    <cdr:from>
      <cdr:x>0.31595</cdr:x>
      <cdr:y>0.3967</cdr:y>
    </cdr:from>
    <cdr:to>
      <cdr:x>0.37842</cdr:x>
      <cdr:y>0.45061</cdr:y>
    </cdr:to>
    <cdr:sp macro="" textlink="">
      <cdr:nvSpPr>
        <cdr:cNvPr id="16" name="TextBox 3">
          <a:extLst xmlns:a="http://schemas.openxmlformats.org/drawingml/2006/main">
            <a:ext uri="{FF2B5EF4-FFF2-40B4-BE49-F238E27FC236}">
              <a16:creationId xmlns:a16="http://schemas.microsoft.com/office/drawing/2014/main" id="{78331A97-A70C-34DA-FC37-E02CAD0834FE}"/>
            </a:ext>
          </a:extLst>
        </cdr:cNvPr>
        <cdr:cNvSpPr txBox="1"/>
      </cdr:nvSpPr>
      <cdr:spPr>
        <a:xfrm xmlns:a="http://schemas.openxmlformats.org/drawingml/2006/main">
          <a:off x="2018953" y="1744188"/>
          <a:ext cx="399127" cy="237012"/>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+1%</a:t>
          </a:r>
          <a:endParaRPr lang="lv-LV" sz="900" b="1"/>
        </a:p>
      </cdr:txBody>
    </cdr:sp>
  </cdr:relSizeAnchor>
  <cdr:relSizeAnchor xmlns:cdr="http://schemas.openxmlformats.org/drawingml/2006/chartDrawing">
    <cdr:from>
      <cdr:x>0.536</cdr:x>
      <cdr:y>0.03184</cdr:y>
    </cdr:from>
    <cdr:to>
      <cdr:x>0.60181</cdr:x>
      <cdr:y>0.0855</cdr:y>
    </cdr:to>
    <cdr:sp macro="" textlink="">
      <cdr:nvSpPr>
        <cdr:cNvPr id="17" name="TextBox 3">
          <a:extLst xmlns:a="http://schemas.openxmlformats.org/drawingml/2006/main">
            <a:ext uri="{FF2B5EF4-FFF2-40B4-BE49-F238E27FC236}">
              <a16:creationId xmlns:a16="http://schemas.microsoft.com/office/drawing/2014/main" id="{9CE6C676-7246-157D-5797-742358993F12}"/>
            </a:ext>
          </a:extLst>
        </cdr:cNvPr>
        <cdr:cNvSpPr txBox="1"/>
      </cdr:nvSpPr>
      <cdr:spPr>
        <a:xfrm xmlns:a="http://schemas.openxmlformats.org/drawingml/2006/main">
          <a:off x="3425074" y="139980"/>
          <a:ext cx="420486" cy="23594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-11%</a:t>
          </a:r>
          <a:r>
            <a:rPr lang="lv-LV" sz="900" b="1"/>
            <a:t> </a:t>
          </a:r>
        </a:p>
      </cdr:txBody>
    </cdr:sp>
  </cdr:relSizeAnchor>
  <cdr:relSizeAnchor xmlns:cdr="http://schemas.openxmlformats.org/drawingml/2006/chartDrawing">
    <cdr:from>
      <cdr:x>0.75895</cdr:x>
      <cdr:y>0.00325</cdr:y>
    </cdr:from>
    <cdr:to>
      <cdr:x>0.82918</cdr:x>
      <cdr:y>0.05661</cdr:y>
    </cdr:to>
    <cdr:sp macro="" textlink="">
      <cdr:nvSpPr>
        <cdr:cNvPr id="18" name="TextBox 3">
          <a:extLst xmlns:a="http://schemas.openxmlformats.org/drawingml/2006/main">
            <a:ext uri="{FF2B5EF4-FFF2-40B4-BE49-F238E27FC236}">
              <a16:creationId xmlns:a16="http://schemas.microsoft.com/office/drawing/2014/main" id="{83A1A229-4F76-5ADB-478A-7130F48D591A}"/>
            </a:ext>
          </a:extLst>
        </cdr:cNvPr>
        <cdr:cNvSpPr txBox="1"/>
      </cdr:nvSpPr>
      <cdr:spPr>
        <a:xfrm xmlns:a="http://schemas.openxmlformats.org/drawingml/2006/main">
          <a:off x="4849694" y="14304"/>
          <a:ext cx="448746" cy="23461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900" b="1" i="0" u="none" strike="noStrike">
              <a:solidFill>
                <a:schemeClr val="dk1"/>
              </a:solidFill>
              <a:effectLst/>
              <a:latin typeface="+mn-lt"/>
              <a:ea typeface="+mn-ea"/>
              <a:cs typeface="+mn-cs"/>
            </a:rPr>
            <a:t>+16%</a:t>
          </a:r>
          <a:endParaRPr lang="lv-LV" sz="900" b="1"/>
        </a:p>
      </cdr:txBody>
    </cdr:sp>
  </cdr:relSizeAnchor>
</c:userShapes>
</file>

<file path=word/drawings/drawing3.xml><?xml version="1.0" encoding="utf-8"?>
<c:userShapes xmlns:c="http://schemas.openxmlformats.org/drawingml/2006/chart">
  <cdr:relSizeAnchor xmlns:cdr="http://schemas.openxmlformats.org/drawingml/2006/chartDrawing">
    <cdr:from>
      <cdr:x>0.06422</cdr:x>
      <cdr:y>0.12898</cdr:y>
    </cdr:from>
    <cdr:to>
      <cdr:x>0.11656</cdr:x>
      <cdr:y>0.1809</cdr:y>
    </cdr:to>
    <cdr:sp macro="" textlink="">
      <cdr:nvSpPr>
        <cdr:cNvPr id="2" name="TextBox 1">
          <a:extLst xmlns:a="http://schemas.openxmlformats.org/drawingml/2006/main">
            <a:ext uri="{FF2B5EF4-FFF2-40B4-BE49-F238E27FC236}">
              <a16:creationId xmlns:a16="http://schemas.microsoft.com/office/drawing/2014/main" id="{EC27B444-42A4-A3E8-9E40-E53CA0A2A089}"/>
            </a:ext>
          </a:extLst>
        </cdr:cNvPr>
        <cdr:cNvSpPr txBox="1"/>
      </cdr:nvSpPr>
      <cdr:spPr>
        <a:xfrm xmlns:a="http://schemas.openxmlformats.org/drawingml/2006/main">
          <a:off x="584278" y="779193"/>
          <a:ext cx="476250" cy="3136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dr:relSizeAnchor xmlns:cdr="http://schemas.openxmlformats.org/drawingml/2006/chartDrawing">
    <cdr:from>
      <cdr:x>0.31148</cdr:x>
      <cdr:y>0.35917</cdr:y>
    </cdr:from>
    <cdr:to>
      <cdr:x>0.36637</cdr:x>
      <cdr:y>0.40339</cdr:y>
    </cdr:to>
    <cdr:sp macro="" textlink="">
      <cdr:nvSpPr>
        <cdr:cNvPr id="3" name="TextBox 2">
          <a:extLst xmlns:a="http://schemas.openxmlformats.org/drawingml/2006/main">
            <a:ext uri="{FF2B5EF4-FFF2-40B4-BE49-F238E27FC236}">
              <a16:creationId xmlns:a16="http://schemas.microsoft.com/office/drawing/2014/main" id="{2366F27E-39C9-6E3C-A5ED-A8BAD22EB72C}"/>
            </a:ext>
          </a:extLst>
        </cdr:cNvPr>
        <cdr:cNvSpPr txBox="1"/>
      </cdr:nvSpPr>
      <cdr:spPr>
        <a:xfrm xmlns:a="http://schemas.openxmlformats.org/drawingml/2006/main">
          <a:off x="2073826" y="1536081"/>
          <a:ext cx="365456" cy="189117"/>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+4%</a:t>
          </a:r>
        </a:p>
      </cdr:txBody>
    </cdr:sp>
  </cdr:relSizeAnchor>
  <cdr:relSizeAnchor xmlns:cdr="http://schemas.openxmlformats.org/drawingml/2006/chartDrawing">
    <cdr:from>
      <cdr:x>0.46442</cdr:x>
      <cdr:y>0.33637</cdr:y>
    </cdr:from>
    <cdr:to>
      <cdr:x>0.51931</cdr:x>
      <cdr:y>0.38059</cdr:y>
    </cdr:to>
    <cdr:sp macro="" textlink="">
      <cdr:nvSpPr>
        <cdr:cNvPr id="4" name="TextBox 2">
          <a:extLst xmlns:a="http://schemas.openxmlformats.org/drawingml/2006/main">
            <a:ext uri="{FF2B5EF4-FFF2-40B4-BE49-F238E27FC236}">
              <a16:creationId xmlns:a16="http://schemas.microsoft.com/office/drawing/2014/main" id="{2366F27E-39C9-6E3C-A5ED-A8BAD22EB72C}"/>
            </a:ext>
          </a:extLst>
        </cdr:cNvPr>
        <cdr:cNvSpPr txBox="1"/>
      </cdr:nvSpPr>
      <cdr:spPr>
        <a:xfrm xmlns:a="http://schemas.openxmlformats.org/drawingml/2006/main">
          <a:off x="3092113" y="1438541"/>
          <a:ext cx="365456" cy="189159"/>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+6%</a:t>
          </a:r>
        </a:p>
      </cdr:txBody>
    </cdr:sp>
  </cdr:relSizeAnchor>
  <cdr:relSizeAnchor xmlns:cdr="http://schemas.openxmlformats.org/drawingml/2006/chartDrawing">
    <cdr:from>
      <cdr:x>0.53086</cdr:x>
      <cdr:y>0.23472</cdr:y>
    </cdr:from>
    <cdr:to>
      <cdr:x>0.58576</cdr:x>
      <cdr:y>0.27895</cdr:y>
    </cdr:to>
    <cdr:sp macro="" textlink="">
      <cdr:nvSpPr>
        <cdr:cNvPr id="5" name="TextBox 2">
          <a:extLst xmlns:a="http://schemas.openxmlformats.org/drawingml/2006/main">
            <a:ext uri="{FF2B5EF4-FFF2-40B4-BE49-F238E27FC236}">
              <a16:creationId xmlns:a16="http://schemas.microsoft.com/office/drawing/2014/main" id="{5CDBCDC8-F1B1-245C-2449-4A209A820F0A}"/>
            </a:ext>
          </a:extLst>
        </cdr:cNvPr>
        <cdr:cNvSpPr txBox="1"/>
      </cdr:nvSpPr>
      <cdr:spPr>
        <a:xfrm xmlns:a="http://schemas.openxmlformats.org/drawingml/2006/main">
          <a:off x="3534453" y="1003825"/>
          <a:ext cx="365522" cy="189159"/>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-2%</a:t>
          </a:r>
        </a:p>
      </cdr:txBody>
    </cdr:sp>
  </cdr:relSizeAnchor>
  <cdr:relSizeAnchor xmlns:cdr="http://schemas.openxmlformats.org/drawingml/2006/chartDrawing">
    <cdr:from>
      <cdr:x>0.68731</cdr:x>
      <cdr:y>0.19767</cdr:y>
    </cdr:from>
    <cdr:to>
      <cdr:x>0.74221</cdr:x>
      <cdr:y>0.2419</cdr:y>
    </cdr:to>
    <cdr:sp macro="" textlink="">
      <cdr:nvSpPr>
        <cdr:cNvPr id="6" name="TextBox 2">
          <a:extLst xmlns:a="http://schemas.openxmlformats.org/drawingml/2006/main">
            <a:ext uri="{FF2B5EF4-FFF2-40B4-BE49-F238E27FC236}">
              <a16:creationId xmlns:a16="http://schemas.microsoft.com/office/drawing/2014/main" id="{4D74AB1F-E125-C314-3986-CC79F2AA3F46}"/>
            </a:ext>
          </a:extLst>
        </cdr:cNvPr>
        <cdr:cNvSpPr txBox="1"/>
      </cdr:nvSpPr>
      <cdr:spPr>
        <a:xfrm xmlns:a="http://schemas.openxmlformats.org/drawingml/2006/main">
          <a:off x="4576093" y="845385"/>
          <a:ext cx="365523" cy="18916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+4%</a:t>
          </a:r>
        </a:p>
      </cdr:txBody>
    </cdr:sp>
  </cdr:relSizeAnchor>
  <cdr:relSizeAnchor xmlns:cdr="http://schemas.openxmlformats.org/drawingml/2006/chartDrawing">
    <cdr:from>
      <cdr:x>0.91626</cdr:x>
      <cdr:y>0.40332</cdr:y>
    </cdr:from>
    <cdr:to>
      <cdr:x>0.97116</cdr:x>
      <cdr:y>0.44754</cdr:y>
    </cdr:to>
    <cdr:sp macro="" textlink="">
      <cdr:nvSpPr>
        <cdr:cNvPr id="7" name="TextBox 2">
          <a:extLst xmlns:a="http://schemas.openxmlformats.org/drawingml/2006/main">
            <a:ext uri="{FF2B5EF4-FFF2-40B4-BE49-F238E27FC236}">
              <a16:creationId xmlns:a16="http://schemas.microsoft.com/office/drawing/2014/main" id="{B55D935A-F168-A8F0-5EA0-CE2223B481B9}"/>
            </a:ext>
          </a:extLst>
        </cdr:cNvPr>
        <cdr:cNvSpPr txBox="1"/>
      </cdr:nvSpPr>
      <cdr:spPr>
        <a:xfrm xmlns:a="http://schemas.openxmlformats.org/drawingml/2006/main">
          <a:off x="6100432" y="1724892"/>
          <a:ext cx="365523" cy="189117"/>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+5%</a:t>
          </a:r>
        </a:p>
      </cdr:txBody>
    </cdr:sp>
  </cdr:relSizeAnchor>
  <cdr:relSizeAnchor xmlns:cdr="http://schemas.openxmlformats.org/drawingml/2006/chartDrawing">
    <cdr:from>
      <cdr:x>0.76373</cdr:x>
      <cdr:y>0.32636</cdr:y>
    </cdr:from>
    <cdr:to>
      <cdr:x>0.81863</cdr:x>
      <cdr:y>0.37058</cdr:y>
    </cdr:to>
    <cdr:sp macro="" textlink="">
      <cdr:nvSpPr>
        <cdr:cNvPr id="8" name="TextBox 2">
          <a:extLst xmlns:a="http://schemas.openxmlformats.org/drawingml/2006/main">
            <a:ext uri="{FF2B5EF4-FFF2-40B4-BE49-F238E27FC236}">
              <a16:creationId xmlns:a16="http://schemas.microsoft.com/office/drawing/2014/main" id="{B55D935A-F168-A8F0-5EA0-CE2223B481B9}"/>
            </a:ext>
          </a:extLst>
        </cdr:cNvPr>
        <cdr:cNvSpPr txBox="1"/>
      </cdr:nvSpPr>
      <cdr:spPr>
        <a:xfrm xmlns:a="http://schemas.openxmlformats.org/drawingml/2006/main">
          <a:off x="5084891" y="1395731"/>
          <a:ext cx="365523" cy="189159"/>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+8%</a:t>
          </a:r>
        </a:p>
      </cdr:txBody>
    </cdr:sp>
  </cdr:relSizeAnchor>
  <cdr:relSizeAnchor xmlns:cdr="http://schemas.openxmlformats.org/drawingml/2006/chartDrawing">
    <cdr:from>
      <cdr:x>0.07594</cdr:x>
      <cdr:y>0.07756</cdr:y>
    </cdr:from>
    <cdr:to>
      <cdr:x>0.13742</cdr:x>
      <cdr:y>0.12586</cdr:y>
    </cdr:to>
    <cdr:sp macro="" textlink="">
      <cdr:nvSpPr>
        <cdr:cNvPr id="9" name="TextBox 2"/>
        <cdr:cNvSpPr txBox="1"/>
      </cdr:nvSpPr>
      <cdr:spPr>
        <a:xfrm xmlns:a="http://schemas.openxmlformats.org/drawingml/2006/main">
          <a:off x="505598" y="331702"/>
          <a:ext cx="409333" cy="20656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-11%</a:t>
          </a:r>
        </a:p>
      </cdr:txBody>
    </cdr:sp>
  </cdr:relSizeAnchor>
  <cdr:relSizeAnchor xmlns:cdr="http://schemas.openxmlformats.org/drawingml/2006/chartDrawing">
    <cdr:from>
      <cdr:x>0.23964</cdr:x>
      <cdr:y>0.06941</cdr:y>
    </cdr:from>
    <cdr:to>
      <cdr:x>0.30111</cdr:x>
      <cdr:y>0.11771</cdr:y>
    </cdr:to>
    <cdr:sp macro="" textlink="">
      <cdr:nvSpPr>
        <cdr:cNvPr id="12" name="TextBox 2"/>
        <cdr:cNvSpPr txBox="1"/>
      </cdr:nvSpPr>
      <cdr:spPr>
        <a:xfrm xmlns:a="http://schemas.openxmlformats.org/drawingml/2006/main">
          <a:off x="1599011" y="335612"/>
          <a:ext cx="410190" cy="233588"/>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lv-LV" sz="800" b="1"/>
            <a:t>-15%</a:t>
          </a:r>
        </a:p>
      </cdr:txBody>
    </cdr:sp>
  </cdr:relSizeAnchor>
</c:userShapes>
</file>

<file path=word/drawings/drawing4.xml><?xml version="1.0" encoding="utf-8"?>
<c:userShapes xmlns:c="http://schemas.openxmlformats.org/drawingml/2006/chart">
  <cdr:relSizeAnchor xmlns:cdr="http://schemas.openxmlformats.org/drawingml/2006/chartDrawing">
    <cdr:from>
      <cdr:x>0.22281</cdr:x>
      <cdr:y>0.43305</cdr:y>
    </cdr:from>
    <cdr:to>
      <cdr:x>0.31465</cdr:x>
      <cdr:y>0.52707</cdr:y>
    </cdr:to>
    <cdr:sp macro="" textlink="">
      <cdr:nvSpPr>
        <cdr:cNvPr id="3" name="Text Box 2"/>
        <cdr:cNvSpPr txBox="1"/>
      </cdr:nvSpPr>
      <cdr:spPr>
        <a:xfrm xmlns:a="http://schemas.openxmlformats.org/drawingml/2006/main">
          <a:off x="1274324" y="1478605"/>
          <a:ext cx="525294" cy="3210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b="1"/>
            <a:t>+11%</a:t>
          </a:r>
        </a:p>
      </cdr:txBody>
    </cdr:sp>
  </cdr:relSizeAnchor>
  <cdr:relSizeAnchor xmlns:cdr="http://schemas.openxmlformats.org/drawingml/2006/chartDrawing">
    <cdr:from>
      <cdr:x>0.50892</cdr:x>
      <cdr:y>0.03197</cdr:y>
    </cdr:from>
    <cdr:to>
      <cdr:x>0.60076</cdr:x>
      <cdr:y>0.12599</cdr:y>
    </cdr:to>
    <cdr:sp macro="" textlink="">
      <cdr:nvSpPr>
        <cdr:cNvPr id="4" name="Text Box 1"/>
        <cdr:cNvSpPr txBox="1"/>
      </cdr:nvSpPr>
      <cdr:spPr>
        <a:xfrm xmlns:a="http://schemas.openxmlformats.org/drawingml/2006/main">
          <a:off x="2910733" y="109167"/>
          <a:ext cx="525294" cy="3210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b="1"/>
            <a:t>+26%</a:t>
          </a:r>
        </a:p>
      </cdr:txBody>
    </cdr:sp>
  </cdr:relSizeAnchor>
  <cdr:relSizeAnchor xmlns:cdr="http://schemas.openxmlformats.org/drawingml/2006/chartDrawing">
    <cdr:from>
      <cdr:x>0.81714</cdr:x>
      <cdr:y>0.16651</cdr:y>
    </cdr:from>
    <cdr:to>
      <cdr:x>0.90899</cdr:x>
      <cdr:y>0.26053</cdr:y>
    </cdr:to>
    <cdr:sp macro="" textlink="">
      <cdr:nvSpPr>
        <cdr:cNvPr id="5" name="Text Box 1"/>
        <cdr:cNvSpPr txBox="1"/>
      </cdr:nvSpPr>
      <cdr:spPr>
        <a:xfrm xmlns:a="http://schemas.openxmlformats.org/drawingml/2006/main">
          <a:off x="4673601" y="568529"/>
          <a:ext cx="525294" cy="3210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v-LV" sz="1100" b="1"/>
            <a:t>-17%</a:t>
          </a:r>
        </a:p>
      </cdr:txBody>
    </cdr:sp>
  </cdr:relSizeAnchor>
</c:userShapes>
</file>

<file path=word/drawings/drawing5.xml><?xml version="1.0" encoding="utf-8"?>
<c:userShapes xmlns:c="http://schemas.openxmlformats.org/drawingml/2006/chart">
  <cdr:relSizeAnchor xmlns:cdr="http://schemas.openxmlformats.org/drawingml/2006/chartDrawing">
    <cdr:from>
      <cdr:x>0.01019</cdr:x>
      <cdr:y>0.88091</cdr:y>
    </cdr:from>
    <cdr:to>
      <cdr:x>0.98339</cdr:x>
      <cdr:y>0.9886</cdr:y>
    </cdr:to>
    <cdr:sp macro="" textlink="">
      <cdr:nvSpPr>
        <cdr:cNvPr id="2" name="TextBox 1">
          <a:extLst xmlns:a="http://schemas.openxmlformats.org/drawingml/2006/main">
            <a:ext uri="{FF2B5EF4-FFF2-40B4-BE49-F238E27FC236}">
              <a16:creationId xmlns:a16="http://schemas.microsoft.com/office/drawing/2014/main" id="{868EBB49-D5B7-5DFF-32BD-C6D7A5A32797}"/>
            </a:ext>
          </a:extLst>
        </cdr:cNvPr>
        <cdr:cNvSpPr txBox="1"/>
      </cdr:nvSpPr>
      <cdr:spPr>
        <a:xfrm xmlns:a="http://schemas.openxmlformats.org/drawingml/2006/main">
          <a:off x="58435" y="2945111"/>
          <a:ext cx="5580365" cy="3600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800"/>
            <a:t>* nav informācijas, ņemot vērā no 2021.gada 1.janvāra notikušās vērienīgās izmaiņas maksājumu veikšanas un uzskaites kārtībā, 2021.gads uzskatāms par pārejas periodu, kura laikā VID informācijas sistēmas tika pielāgotas jaunajai kārtībai.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0631-4980-44B2-AF8C-EB7FED1E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25</Pages>
  <Words>38897</Words>
  <Characters>22172</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60948</CharactersWithSpaces>
  <SharedDoc>false</SharedDoc>
  <HLinks>
    <vt:vector size="126" baseType="variant">
      <vt:variant>
        <vt:i4>4653135</vt:i4>
      </vt:variant>
      <vt:variant>
        <vt:i4>3</vt:i4>
      </vt:variant>
      <vt:variant>
        <vt:i4>0</vt:i4>
      </vt:variant>
      <vt:variant>
        <vt:i4>5</vt:i4>
      </vt:variant>
      <vt:variant>
        <vt:lpwstr>https://www.vid.gov.lv/lv/nozaru-statistikas-katalogs?tcat_vid_10%5B1005%5D=1005</vt:lpwstr>
      </vt:variant>
      <vt:variant>
        <vt:lpwstr/>
      </vt:variant>
      <vt:variant>
        <vt:i4>2162807</vt:i4>
      </vt:variant>
      <vt:variant>
        <vt:i4>0</vt:i4>
      </vt:variant>
      <vt:variant>
        <vt:i4>0</vt:i4>
      </vt:variant>
      <vt:variant>
        <vt:i4>5</vt:i4>
      </vt:variant>
      <vt:variant>
        <vt:lpwstr>https://www.vid.gov.lv/lv/nozaru-statistikas-katalogs?category%5B376%5D=376</vt:lpwstr>
      </vt:variant>
      <vt:variant>
        <vt:lpwstr/>
      </vt:variant>
      <vt:variant>
        <vt:i4>4522049</vt:i4>
      </vt:variant>
      <vt:variant>
        <vt:i4>48</vt:i4>
      </vt:variant>
      <vt:variant>
        <vt:i4>0</vt:i4>
      </vt:variant>
      <vt:variant>
        <vt:i4>5</vt:i4>
      </vt:variant>
      <vt:variant>
        <vt:lpwstr>http://tap.mk.gov.lv/mk/tap/?pid=40427819</vt:lpwstr>
      </vt:variant>
      <vt:variant>
        <vt:lpwstr/>
      </vt:variant>
      <vt:variant>
        <vt:i4>6160460</vt:i4>
      </vt:variant>
      <vt:variant>
        <vt:i4>45</vt:i4>
      </vt:variant>
      <vt:variant>
        <vt:i4>0</vt:i4>
      </vt:variant>
      <vt:variant>
        <vt:i4>5</vt:i4>
      </vt:variant>
      <vt:variant>
        <vt:lpwstr>http://www.zm.gov.lv/public/ck/files/ZM/TP petijumi/KOPA_PVN_2012.pdf</vt:lpwstr>
      </vt:variant>
      <vt:variant>
        <vt:lpwstr/>
      </vt:variant>
      <vt:variant>
        <vt:i4>5570571</vt:i4>
      </vt:variant>
      <vt:variant>
        <vt:i4>42</vt:i4>
      </vt:variant>
      <vt:variant>
        <vt:i4>0</vt:i4>
      </vt:variant>
      <vt:variant>
        <vt:i4>5</vt:i4>
      </vt:variant>
      <vt:variant>
        <vt:lpwstr>https://business-review.eu/news/romanian-government-cuts-vat-for-organic-food-to-5-pct-approves-mini-fiscal-amnesty-for-low-income-earners-200801</vt:lpwstr>
      </vt:variant>
      <vt:variant>
        <vt:lpwstr/>
      </vt:variant>
      <vt:variant>
        <vt:i4>1835012</vt:i4>
      </vt:variant>
      <vt:variant>
        <vt:i4>39</vt:i4>
      </vt:variant>
      <vt:variant>
        <vt:i4>0</vt:i4>
      </vt:variant>
      <vt:variant>
        <vt:i4>5</vt:i4>
      </vt:variant>
      <vt:variant>
        <vt:lpwstr>http://blog.euromonitor.com/2016/02/vat-reduction-romania-retailing.html</vt:lpwstr>
      </vt:variant>
      <vt:variant>
        <vt:lpwstr/>
      </vt:variant>
      <vt:variant>
        <vt:i4>7012465</vt:i4>
      </vt:variant>
      <vt:variant>
        <vt:i4>36</vt:i4>
      </vt:variant>
      <vt:variant>
        <vt:i4>0</vt:i4>
      </vt:variant>
      <vt:variant>
        <vt:i4>5</vt:i4>
      </vt:variant>
      <vt:variant>
        <vt:lpwstr>http://www.agroberichtenbuitenland.nl/roemenie/wp-content/uploads/sites/22/2015/08/imgm5jzoxif.pdf</vt:lpwstr>
      </vt:variant>
      <vt:variant>
        <vt:lpwstr/>
      </vt:variant>
      <vt:variant>
        <vt:i4>6291495</vt:i4>
      </vt:variant>
      <vt:variant>
        <vt:i4>33</vt:i4>
      </vt:variant>
      <vt:variant>
        <vt:i4>0</vt:i4>
      </vt:variant>
      <vt:variant>
        <vt:i4>5</vt:i4>
      </vt:variant>
      <vt:variant>
        <vt:lpwstr>https://spectator.sme.sk/c/20070826/lower-vat-reduces-prices-on-some-food.html</vt:lpwstr>
      </vt:variant>
      <vt:variant>
        <vt:lpwstr/>
      </vt:variant>
      <vt:variant>
        <vt:i4>1179737</vt:i4>
      </vt:variant>
      <vt:variant>
        <vt:i4>30</vt:i4>
      </vt:variant>
      <vt:variant>
        <vt:i4>0</vt:i4>
      </vt:variant>
      <vt:variant>
        <vt:i4>5</vt:i4>
      </vt:variant>
      <vt:variant>
        <vt:lpwstr>https://spectator.sme.sk/c/20061036/vat-to-be-reduced-on-some-foods.html</vt:lpwstr>
      </vt:variant>
      <vt:variant>
        <vt:lpwstr/>
      </vt:variant>
      <vt:variant>
        <vt:i4>6225946</vt:i4>
      </vt:variant>
      <vt:variant>
        <vt:i4>27</vt:i4>
      </vt:variant>
      <vt:variant>
        <vt:i4>0</vt:i4>
      </vt:variant>
      <vt:variant>
        <vt:i4>5</vt:i4>
      </vt:variant>
      <vt:variant>
        <vt:lpwstr>https://www.mfsr.sk/en/taxes-customs-accounting/indirect-taxes/vat/act-222/2004-coll-on-value-added-tax/in-wording-effective-from-1-january-2020/</vt:lpwstr>
      </vt:variant>
      <vt:variant>
        <vt:lpwstr/>
      </vt:variant>
      <vt:variant>
        <vt:i4>1572892</vt:i4>
      </vt:variant>
      <vt:variant>
        <vt:i4>24</vt:i4>
      </vt:variant>
      <vt:variant>
        <vt:i4>0</vt:i4>
      </vt:variant>
      <vt:variant>
        <vt:i4>5</vt:i4>
      </vt:variant>
      <vt:variant>
        <vt:lpwstr>http://www.sorainen.com/UserFiles/File/Publications/article.The-EU-experience-in-VAT-fraud-combating.2016-11-04.lat.bilances-juridiskie-padomi.sabinev-dacee.pdf</vt:lpwstr>
      </vt:variant>
      <vt:variant>
        <vt:lpwstr/>
      </vt:variant>
      <vt:variant>
        <vt:i4>1179727</vt:i4>
      </vt:variant>
      <vt:variant>
        <vt:i4>21</vt:i4>
      </vt:variant>
      <vt:variant>
        <vt:i4>0</vt:i4>
      </vt:variant>
      <vt:variant>
        <vt:i4>5</vt:i4>
      </vt:variant>
      <vt:variant>
        <vt:lpwstr>https://www.kormany.hu/en/ministry-of-agriculture/news/the-reduction-of-vat-on-the-most-important-foodstuff-is-continuing</vt:lpwstr>
      </vt:variant>
      <vt:variant>
        <vt:lpwstr/>
      </vt:variant>
      <vt:variant>
        <vt:i4>7208971</vt:i4>
      </vt:variant>
      <vt:variant>
        <vt:i4>18</vt:i4>
      </vt:variant>
      <vt:variant>
        <vt:i4>0</vt:i4>
      </vt:variant>
      <vt:variant>
        <vt:i4>5</vt:i4>
      </vt:variant>
      <vt:variant>
        <vt:lpwstr>https://ec.europa.eu/taxation_customs/sites/taxation/files/resources/documents/taxation/vat/how_vat_works/rates/vat_rates_en.pdf</vt:lpwstr>
      </vt:variant>
      <vt:variant>
        <vt:lpwstr/>
      </vt:variant>
      <vt:variant>
        <vt:i4>262168</vt:i4>
      </vt:variant>
      <vt:variant>
        <vt:i4>15</vt:i4>
      </vt:variant>
      <vt:variant>
        <vt:i4>0</vt:i4>
      </vt:variant>
      <vt:variant>
        <vt:i4>5</vt:i4>
      </vt:variant>
      <vt:variant>
        <vt:lpwstr>http://titania.saeima.lv/LIVS12/SaeimaLIVS12.nsf/0/820E69C33B166D25C22581B60027D0B0?OpenDocument</vt:lpwstr>
      </vt:variant>
      <vt:variant>
        <vt:lpwstr/>
      </vt:variant>
      <vt:variant>
        <vt:i4>7208971</vt:i4>
      </vt:variant>
      <vt:variant>
        <vt:i4>12</vt:i4>
      </vt:variant>
      <vt:variant>
        <vt:i4>0</vt:i4>
      </vt:variant>
      <vt:variant>
        <vt:i4>5</vt:i4>
      </vt:variant>
      <vt:variant>
        <vt:lpwstr>https://ec.europa.eu/taxation_customs/sites/taxation/files/resources/documents/taxation/vat/how_vat_works/rates/vat_rates_en.pdf</vt:lpwstr>
      </vt:variant>
      <vt:variant>
        <vt:lpwstr/>
      </vt:variant>
      <vt:variant>
        <vt:i4>262168</vt:i4>
      </vt:variant>
      <vt:variant>
        <vt:i4>9</vt:i4>
      </vt:variant>
      <vt:variant>
        <vt:i4>0</vt:i4>
      </vt:variant>
      <vt:variant>
        <vt:i4>5</vt:i4>
      </vt:variant>
      <vt:variant>
        <vt:lpwstr>http://titania.saeima.lv/LIVS12/SaeimaLIVS12.nsf/0/820E69C33B166D25C22581B60027D0B0?OpenDocument</vt:lpwstr>
      </vt:variant>
      <vt:variant>
        <vt:lpwstr/>
      </vt:variant>
      <vt:variant>
        <vt:i4>721017</vt:i4>
      </vt:variant>
      <vt:variant>
        <vt:i4>6</vt:i4>
      </vt:variant>
      <vt:variant>
        <vt:i4>0</vt:i4>
      </vt:variant>
      <vt:variant>
        <vt:i4>5</vt:i4>
      </vt:variant>
      <vt:variant>
        <vt:lpwstr>https://www.lvm.lv/images/lvm/Petijumi_un_publikacijas/Petijumi/zemes-izmantosanas-optimizacija_2018.pdf</vt:lpwstr>
      </vt:variant>
      <vt:variant>
        <vt:lpwstr/>
      </vt:variant>
      <vt:variant>
        <vt:i4>7798843</vt:i4>
      </vt:variant>
      <vt:variant>
        <vt:i4>3</vt:i4>
      </vt:variant>
      <vt:variant>
        <vt:i4>0</vt:i4>
      </vt:variant>
      <vt:variant>
        <vt:i4>5</vt:i4>
      </vt:variant>
      <vt:variant>
        <vt:lpwstr>https://data.stat.gov.lv/pxweb/lv/OSP_OD/OSP_OD__apsekojumi__veseliba_modulis/MOD17_06.px/table/tableViewLayout1/</vt:lpwstr>
      </vt:variant>
      <vt:variant>
        <vt:lpwstr/>
      </vt:variant>
      <vt:variant>
        <vt:i4>4522049</vt:i4>
      </vt:variant>
      <vt:variant>
        <vt:i4>0</vt:i4>
      </vt:variant>
      <vt:variant>
        <vt:i4>0</vt:i4>
      </vt:variant>
      <vt:variant>
        <vt:i4>5</vt:i4>
      </vt:variant>
      <vt:variant>
        <vt:lpwstr>http://tap.mk.gov.lv/mk/tap/?pid=40427819</vt:lpwstr>
      </vt:variant>
      <vt:variant>
        <vt:lpwstr/>
      </vt:variant>
      <vt:variant>
        <vt:i4>3538977</vt:i4>
      </vt:variant>
      <vt:variant>
        <vt:i4>3</vt:i4>
      </vt:variant>
      <vt:variant>
        <vt:i4>0</vt:i4>
      </vt:variant>
      <vt:variant>
        <vt:i4>5</vt:i4>
      </vt:variant>
      <vt:variant>
        <vt:lpwstr>https://www.fm.gov.lv/lv/petijumi-par-enu-ekonomikas-apjomu</vt:lpwstr>
      </vt:variant>
      <vt:variant>
        <vt:lpwstr/>
      </vt:variant>
      <vt:variant>
        <vt:i4>3538977</vt:i4>
      </vt:variant>
      <vt:variant>
        <vt:i4>0</vt:i4>
      </vt:variant>
      <vt:variant>
        <vt:i4>0</vt:i4>
      </vt:variant>
      <vt:variant>
        <vt:i4>5</vt:i4>
      </vt:variant>
      <vt:variant>
        <vt:lpwstr>https://www.fm.gov.lv/lv/petijumi-par-enu-ekonomikas-apjomu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Agrita Karlapa</dc:creator>
  <cp:keywords/>
  <dc:description/>
  <cp:lastModifiedBy>Agrita Karlapa</cp:lastModifiedBy>
  <cp:revision>183</cp:revision>
  <cp:lastPrinted>2023-07-11T09:57:00Z</cp:lastPrinted>
  <dcterms:created xsi:type="dcterms:W3CDTF">2023-07-06T06:15:00Z</dcterms:created>
  <dcterms:modified xsi:type="dcterms:W3CDTF">2023-07-11T10:41:00Z</dcterms:modified>
</cp:coreProperties>
</file>